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5B6" w:rsidRPr="007722C2" w:rsidRDefault="00BF05B6" w:rsidP="00BF05B6">
      <w:pPr>
        <w:suppressAutoHyphens/>
        <w:contextualSpacing/>
        <w:jc w:val="center"/>
        <w:rPr>
          <w:b/>
          <w:caps/>
          <w:sz w:val="32"/>
          <w:szCs w:val="32"/>
          <w:vertAlign w:val="superscript"/>
        </w:rPr>
      </w:pPr>
      <w:r w:rsidRPr="00D35AD7">
        <w:rPr>
          <w:b/>
          <w:caps/>
          <w:noProof/>
          <w:sz w:val="32"/>
          <w:szCs w:val="32"/>
        </w:rPr>
        <w:t>CARACTERIZAÇÃO EXPERIMENTAL DO PROCESSO DE DELAMINAÇÃO EM MATERIAL COMPÓSITO DE FIBRA DE CARBONO E RESINA EPÓXI</w:t>
      </w:r>
      <w:r>
        <w:rPr>
          <w:b/>
          <w:caps/>
          <w:noProof/>
          <w:sz w:val="32"/>
          <w:szCs w:val="32"/>
        </w:rPr>
        <w:t>*</w:t>
      </w:r>
    </w:p>
    <w:p w:rsidR="00BF05B6" w:rsidRPr="005010C8" w:rsidRDefault="00BF05B6" w:rsidP="00BF05B6">
      <w:pPr>
        <w:suppressAutoHyphens/>
        <w:contextualSpacing/>
        <w:jc w:val="both"/>
        <w:rPr>
          <w:color w:val="FF0000"/>
        </w:rPr>
      </w:pPr>
    </w:p>
    <w:p w:rsidR="00BF05B6" w:rsidRPr="00394A85" w:rsidRDefault="00BF05B6" w:rsidP="00BF05B6">
      <w:pPr>
        <w:suppressAutoHyphens/>
        <w:contextualSpacing/>
        <w:jc w:val="right"/>
        <w:rPr>
          <w:i/>
          <w:sz w:val="20"/>
          <w:szCs w:val="20"/>
          <w:vertAlign w:val="superscript"/>
        </w:rPr>
      </w:pPr>
      <w:r w:rsidRPr="00394A85">
        <w:rPr>
          <w:i/>
          <w:sz w:val="20"/>
          <w:szCs w:val="20"/>
        </w:rPr>
        <w:t xml:space="preserve">Amanda Coutinho Campanatti </w:t>
      </w:r>
      <w:proofErr w:type="gramStart"/>
      <w:r w:rsidRPr="00394A85">
        <w:rPr>
          <w:i/>
          <w:sz w:val="20"/>
          <w:szCs w:val="20"/>
          <w:vertAlign w:val="superscript"/>
        </w:rPr>
        <w:t>1</w:t>
      </w:r>
      <w:proofErr w:type="gramEnd"/>
    </w:p>
    <w:p w:rsidR="00BF05B6" w:rsidRPr="00394A85" w:rsidRDefault="00BF05B6" w:rsidP="00BF05B6">
      <w:pPr>
        <w:suppressAutoHyphens/>
        <w:contextualSpacing/>
        <w:jc w:val="right"/>
        <w:rPr>
          <w:i/>
          <w:sz w:val="20"/>
          <w:szCs w:val="20"/>
          <w:vertAlign w:val="superscript"/>
        </w:rPr>
      </w:pPr>
      <w:r w:rsidRPr="00394A85">
        <w:rPr>
          <w:i/>
          <w:sz w:val="20"/>
          <w:szCs w:val="20"/>
        </w:rPr>
        <w:t>Gigliola Salerno</w:t>
      </w:r>
      <w:r w:rsidRPr="00394A85">
        <w:rPr>
          <w:i/>
          <w:sz w:val="20"/>
          <w:szCs w:val="20"/>
          <w:vertAlign w:val="superscript"/>
        </w:rPr>
        <w:t xml:space="preserve"> </w:t>
      </w:r>
      <w:proofErr w:type="gramStart"/>
      <w:r w:rsidRPr="00394A85">
        <w:rPr>
          <w:i/>
          <w:sz w:val="20"/>
          <w:szCs w:val="20"/>
          <w:vertAlign w:val="superscript"/>
        </w:rPr>
        <w:t>2</w:t>
      </w:r>
      <w:proofErr w:type="gramEnd"/>
    </w:p>
    <w:p w:rsidR="00BF05B6" w:rsidRPr="005010C8" w:rsidRDefault="00BF05B6" w:rsidP="00BF05B6">
      <w:pPr>
        <w:suppressAutoHyphens/>
        <w:contextualSpacing/>
        <w:jc w:val="both"/>
        <w:rPr>
          <w:color w:val="FF0000"/>
        </w:rPr>
      </w:pPr>
    </w:p>
    <w:p w:rsidR="00BF05B6" w:rsidRPr="003F4EA1" w:rsidRDefault="00BF05B6" w:rsidP="00BF05B6">
      <w:pPr>
        <w:suppressAutoHyphens/>
        <w:contextualSpacing/>
        <w:jc w:val="both"/>
      </w:pPr>
      <w:r w:rsidRPr="003F4EA1">
        <w:rPr>
          <w:b/>
        </w:rPr>
        <w:t>Resumo</w:t>
      </w:r>
    </w:p>
    <w:p w:rsidR="00BF05B6" w:rsidRPr="000C1C3A" w:rsidRDefault="00BF05B6" w:rsidP="00BF05B6">
      <w:pPr>
        <w:spacing w:before="120"/>
        <w:jc w:val="both"/>
        <w:rPr>
          <w:color w:val="FF0000"/>
        </w:rPr>
      </w:pPr>
      <w:r w:rsidRPr="000C1C3A">
        <w:t>O objetivo desse trabalho é caracterizar o processo de delaminação, tanto em Modo I como em Modo II, de abertura de trinca. A densidade e porcentagem de fibra do compósito</w:t>
      </w:r>
      <w:r>
        <w:t xml:space="preserve"> carbono-epóxi</w:t>
      </w:r>
      <w:r w:rsidRPr="000C1C3A">
        <w:t xml:space="preserve"> foram calculadas para caracterizar o compósito. O inserto, para simular o início da trinca, foi feito no processo de fabricação dos compósitos a fim de manter sua integridade. Pelo mesmo motivo o corte foi feito a jato d’água. Para caracterização da delaminação foram</w:t>
      </w:r>
      <w:r w:rsidRPr="000C1C3A">
        <w:rPr>
          <w:color w:val="FF0000"/>
        </w:rPr>
        <w:t xml:space="preserve"> </w:t>
      </w:r>
      <w:r w:rsidRPr="000C1C3A">
        <w:t>feitos ensaios de DCB (</w:t>
      </w:r>
      <w:r w:rsidRPr="000C1C3A">
        <w:rPr>
          <w:i/>
        </w:rPr>
        <w:t>Double-</w:t>
      </w:r>
      <w:proofErr w:type="spellStart"/>
      <w:r w:rsidRPr="000C1C3A">
        <w:rPr>
          <w:i/>
        </w:rPr>
        <w:t>cantilever</w:t>
      </w:r>
      <w:proofErr w:type="spellEnd"/>
      <w:r w:rsidRPr="000C1C3A">
        <w:rPr>
          <w:i/>
        </w:rPr>
        <w:t xml:space="preserve"> </w:t>
      </w:r>
      <w:proofErr w:type="spellStart"/>
      <w:r w:rsidRPr="000C1C3A">
        <w:rPr>
          <w:i/>
        </w:rPr>
        <w:t>Beam</w:t>
      </w:r>
      <w:proofErr w:type="spellEnd"/>
      <w:r w:rsidRPr="000C1C3A">
        <w:t>) e ENF (</w:t>
      </w:r>
      <w:proofErr w:type="spellStart"/>
      <w:r w:rsidRPr="000C1C3A">
        <w:rPr>
          <w:i/>
        </w:rPr>
        <w:t>End-notched</w:t>
      </w:r>
      <w:proofErr w:type="spellEnd"/>
      <w:r w:rsidRPr="000C1C3A">
        <w:rPr>
          <w:i/>
        </w:rPr>
        <w:t xml:space="preserve"> </w:t>
      </w:r>
      <w:proofErr w:type="spellStart"/>
      <w:r w:rsidRPr="000C1C3A">
        <w:rPr>
          <w:i/>
        </w:rPr>
        <w:t>Flexure</w:t>
      </w:r>
      <w:proofErr w:type="spellEnd"/>
      <w:r w:rsidRPr="000C1C3A">
        <w:t>), segundo as normas ASTM D5528 e ASTM D790-10, sendo ambos realizados na máquina universal de ensaio MTS</w:t>
      </w:r>
      <w:r>
        <w:t xml:space="preserve">, capacidade de 250 </w:t>
      </w:r>
      <w:proofErr w:type="spellStart"/>
      <w:proofErr w:type="gramStart"/>
      <w:r>
        <w:t>kN</w:t>
      </w:r>
      <w:proofErr w:type="spellEnd"/>
      <w:proofErr w:type="gramEnd"/>
      <w:r w:rsidRPr="000C1C3A">
        <w:t>. A fractografia em Microscopia Eletrônica de Varredura (MEV) foi feita a fim de identificar os mecanismos de dano durante a propagação da trinca. Foi possível concluir a fabricação do compósito, bem como do inserto, é viável. Porém, houve aparecimento de bolhas, por causa da baixa pressão da bomba a vácuo. O corte a jato d’água manteve a integridade do compósito. A rigidez alta do compósito pode ser comprovada por meio das propriedades mecânicas obtidas pelo ensaio de tração. Os valores de G</w:t>
      </w:r>
      <w:r w:rsidRPr="000C1C3A">
        <w:rPr>
          <w:vertAlign w:val="subscript"/>
        </w:rPr>
        <w:t>IC</w:t>
      </w:r>
      <w:r w:rsidRPr="000C1C3A">
        <w:t xml:space="preserve"> e G</w:t>
      </w:r>
      <w:r w:rsidRPr="000C1C3A">
        <w:rPr>
          <w:vertAlign w:val="subscript"/>
        </w:rPr>
        <w:t>IIC</w:t>
      </w:r>
      <w:r w:rsidRPr="000C1C3A">
        <w:t xml:space="preserve"> estão dentro do esperado pela literatura, sendo G</w:t>
      </w:r>
      <w:r w:rsidRPr="000C1C3A">
        <w:rPr>
          <w:vertAlign w:val="subscript"/>
        </w:rPr>
        <w:t>IIC</w:t>
      </w:r>
      <w:r w:rsidRPr="000C1C3A">
        <w:t xml:space="preserve"> maior que G</w:t>
      </w:r>
      <w:r w:rsidRPr="000C1C3A">
        <w:rPr>
          <w:vertAlign w:val="subscript"/>
        </w:rPr>
        <w:t>IC</w:t>
      </w:r>
      <w:r w:rsidRPr="000C1C3A">
        <w:t xml:space="preserve"> por causa da presença de um </w:t>
      </w:r>
      <w:proofErr w:type="gramStart"/>
      <w:r w:rsidRPr="000C1C3A">
        <w:t>capo</w:t>
      </w:r>
      <w:proofErr w:type="gramEnd"/>
      <w:r w:rsidRPr="000C1C3A">
        <w:t xml:space="preserve"> de compressão no ensaio em modo II, enquanto que em modo I é abertura pura por tração.</w:t>
      </w:r>
    </w:p>
    <w:p w:rsidR="00BF05B6" w:rsidRPr="003F4EA1" w:rsidRDefault="00BF05B6" w:rsidP="00BF05B6">
      <w:pPr>
        <w:suppressAutoHyphens/>
        <w:contextualSpacing/>
        <w:jc w:val="both"/>
        <w:rPr>
          <w:bCs/>
        </w:rPr>
      </w:pPr>
      <w:r w:rsidRPr="003F4EA1">
        <w:rPr>
          <w:b/>
          <w:bCs/>
        </w:rPr>
        <w:t>Palavras-chave</w:t>
      </w:r>
      <w:r w:rsidRPr="003F4EA1">
        <w:rPr>
          <w:bCs/>
        </w:rPr>
        <w:t>:</w:t>
      </w:r>
      <w:r>
        <w:rPr>
          <w:bCs/>
        </w:rPr>
        <w:t xml:space="preserve"> Delaminação; Compósito; Fibra de carbono.</w:t>
      </w:r>
    </w:p>
    <w:p w:rsidR="00BF05B6" w:rsidRPr="005010C8" w:rsidRDefault="00BF05B6" w:rsidP="00BF05B6">
      <w:pPr>
        <w:suppressAutoHyphens/>
        <w:contextualSpacing/>
        <w:jc w:val="both"/>
        <w:rPr>
          <w:color w:val="FF0000"/>
        </w:rPr>
      </w:pPr>
    </w:p>
    <w:p w:rsidR="00BF05B6" w:rsidRDefault="00BF05B6" w:rsidP="00BF05B6">
      <w:pPr>
        <w:suppressAutoHyphens/>
        <w:contextualSpacing/>
        <w:jc w:val="center"/>
        <w:rPr>
          <w:b/>
          <w:caps/>
        </w:rPr>
      </w:pPr>
      <w:r>
        <w:rPr>
          <w:b/>
          <w:caps/>
        </w:rPr>
        <w:t>CARBON EPOXY COMPOSITE MATERIAL EXPERIMENTAL DELAMINATION</w:t>
      </w:r>
    </w:p>
    <w:p w:rsidR="00BF05B6" w:rsidRPr="003F4EA1" w:rsidRDefault="00BF05B6" w:rsidP="00BF05B6">
      <w:pPr>
        <w:suppressAutoHyphens/>
        <w:contextualSpacing/>
        <w:jc w:val="center"/>
      </w:pPr>
    </w:p>
    <w:p w:rsidR="00BF05B6" w:rsidRDefault="00BF05B6" w:rsidP="00BF05B6">
      <w:pPr>
        <w:suppressAutoHyphens/>
        <w:contextualSpacing/>
        <w:jc w:val="both"/>
        <w:rPr>
          <w:b/>
        </w:rPr>
      </w:pPr>
      <w:r w:rsidRPr="00F02A24">
        <w:rPr>
          <w:b/>
        </w:rPr>
        <w:t>Abstract</w:t>
      </w:r>
    </w:p>
    <w:p w:rsidR="00BF05B6" w:rsidRPr="00AF630B" w:rsidRDefault="00BF05B6" w:rsidP="00BF05B6">
      <w:pPr>
        <w:suppressAutoHyphens/>
        <w:contextualSpacing/>
        <w:jc w:val="both"/>
        <w:rPr>
          <w:lang w:val="en-GB"/>
        </w:rPr>
      </w:pPr>
      <w:r>
        <w:rPr>
          <w:b/>
        </w:rPr>
        <w:t xml:space="preserve"> </w:t>
      </w:r>
      <w:r w:rsidRPr="009C39D6">
        <w:rPr>
          <w:lang w:val="en-GB"/>
        </w:rPr>
        <w:t xml:space="preserve">The main purpose of this </w:t>
      </w:r>
      <w:r>
        <w:rPr>
          <w:lang w:val="en-GB"/>
        </w:rPr>
        <w:t xml:space="preserve">study is the delamination characterization in Modes I and II. Density and fibre quantity were identified in order to define the carbon epoxy composite material. The initial delamination, using a bag insert, was done during the cure processing. After that, the water jet cutting applied to maintain the dimensions following ASTM standards and structural integrity, provoking no defects in the boundaries. </w:t>
      </w:r>
      <w:r w:rsidRPr="00BC2DB6">
        <w:rPr>
          <w:lang w:val="en-GB"/>
        </w:rPr>
        <w:t>DCB (</w:t>
      </w:r>
      <w:r w:rsidRPr="00BC2DB6">
        <w:rPr>
          <w:i/>
          <w:lang w:val="en-GB"/>
        </w:rPr>
        <w:t>Double-cantilever Beam</w:t>
      </w:r>
      <w:r w:rsidRPr="00BC2DB6">
        <w:rPr>
          <w:lang w:val="en-GB"/>
        </w:rPr>
        <w:t>) and ENF (</w:t>
      </w:r>
      <w:r w:rsidRPr="00BC2DB6">
        <w:rPr>
          <w:i/>
          <w:lang w:val="en-GB"/>
        </w:rPr>
        <w:t>End-notched Flexure</w:t>
      </w:r>
      <w:r w:rsidRPr="00BC2DB6">
        <w:rPr>
          <w:lang w:val="en-GB"/>
        </w:rPr>
        <w:t>)</w:t>
      </w:r>
      <w:r>
        <w:rPr>
          <w:lang w:val="en-GB"/>
        </w:rPr>
        <w:t xml:space="preserve"> tests</w:t>
      </w:r>
      <w:r w:rsidRPr="00BC2DB6">
        <w:rPr>
          <w:lang w:val="en-GB"/>
        </w:rPr>
        <w:t xml:space="preserve">, according ASTM D5528 and ASTM D790-10, </w:t>
      </w:r>
      <w:r>
        <w:rPr>
          <w:lang w:val="en-GB"/>
        </w:rPr>
        <w:t xml:space="preserve">run in MTS 250 </w:t>
      </w:r>
      <w:proofErr w:type="spellStart"/>
      <w:proofErr w:type="gramStart"/>
      <w:r>
        <w:rPr>
          <w:lang w:val="en-GB"/>
        </w:rPr>
        <w:t>kN</w:t>
      </w:r>
      <w:proofErr w:type="spellEnd"/>
      <w:proofErr w:type="gramEnd"/>
      <w:r>
        <w:rPr>
          <w:lang w:val="en-GB"/>
        </w:rPr>
        <w:t xml:space="preserve"> Universal Testing Machine. </w:t>
      </w:r>
      <w:r w:rsidRPr="00AF630B">
        <w:rPr>
          <w:lang w:val="en-GB"/>
        </w:rPr>
        <w:t>Scanning Electronic Microscopy demonstrated the damages invol</w:t>
      </w:r>
      <w:r>
        <w:rPr>
          <w:lang w:val="en-GB"/>
        </w:rPr>
        <w:t xml:space="preserve">ved during delamination process. </w:t>
      </w:r>
      <w:proofErr w:type="gramStart"/>
      <w:r>
        <w:rPr>
          <w:lang w:val="en-GB"/>
        </w:rPr>
        <w:t>Besides proved that the manual processing provoked many air bubbles, which could increase damage.</w:t>
      </w:r>
      <w:proofErr w:type="gramEnd"/>
      <w:r w:rsidRPr="00AF630B">
        <w:rPr>
          <w:lang w:val="en-GB"/>
        </w:rPr>
        <w:t xml:space="preserve"> </w:t>
      </w:r>
      <w:r>
        <w:rPr>
          <w:lang w:val="en-GB"/>
        </w:rPr>
        <w:t>Modes I and II critical fracture energies (</w:t>
      </w:r>
      <w:r w:rsidRPr="00AF630B">
        <w:rPr>
          <w:lang w:val="en-GB"/>
        </w:rPr>
        <w:t>G</w:t>
      </w:r>
      <w:r w:rsidRPr="00AF630B">
        <w:rPr>
          <w:vertAlign w:val="subscript"/>
          <w:lang w:val="en-GB"/>
        </w:rPr>
        <w:t>IC</w:t>
      </w:r>
      <w:r w:rsidRPr="00AF630B">
        <w:rPr>
          <w:lang w:val="en-GB"/>
        </w:rPr>
        <w:t xml:space="preserve"> </w:t>
      </w:r>
      <w:r>
        <w:rPr>
          <w:lang w:val="en-GB"/>
        </w:rPr>
        <w:t>and</w:t>
      </w:r>
      <w:r w:rsidRPr="00AF630B">
        <w:rPr>
          <w:lang w:val="en-GB"/>
        </w:rPr>
        <w:t xml:space="preserve"> G</w:t>
      </w:r>
      <w:r w:rsidRPr="00AF630B">
        <w:rPr>
          <w:vertAlign w:val="subscript"/>
          <w:lang w:val="en-GB"/>
        </w:rPr>
        <w:t>IIC</w:t>
      </w:r>
      <w:r>
        <w:rPr>
          <w:lang w:val="en-GB"/>
        </w:rPr>
        <w:t>) are characterized, following the standards, these values are compatible with the literature, therefore the delamination initial energy are identified.</w:t>
      </w:r>
    </w:p>
    <w:p w:rsidR="00BF05B6" w:rsidRPr="00F02A24" w:rsidRDefault="00BF05B6" w:rsidP="00BF05B6">
      <w:pPr>
        <w:suppressAutoHyphens/>
        <w:contextualSpacing/>
        <w:jc w:val="both"/>
      </w:pPr>
      <w:proofErr w:type="spellStart"/>
      <w:r w:rsidRPr="00F02A24">
        <w:rPr>
          <w:b/>
        </w:rPr>
        <w:t>Keywords</w:t>
      </w:r>
      <w:proofErr w:type="spellEnd"/>
      <w:r w:rsidRPr="00F02A24">
        <w:rPr>
          <w:b/>
        </w:rPr>
        <w:t xml:space="preserve">: </w:t>
      </w:r>
      <w:r w:rsidRPr="00BC2DB6">
        <w:rPr>
          <w:lang w:val="en-GB"/>
        </w:rPr>
        <w:t xml:space="preserve">Delamination, composites, </w:t>
      </w:r>
      <w:r>
        <w:rPr>
          <w:lang w:val="en-GB"/>
        </w:rPr>
        <w:t>carbon</w:t>
      </w:r>
      <w:r w:rsidRPr="00BC2DB6">
        <w:rPr>
          <w:lang w:val="en-GB"/>
        </w:rPr>
        <w:t>-</w:t>
      </w:r>
      <w:proofErr w:type="gramStart"/>
      <w:r w:rsidRPr="00BC2DB6">
        <w:rPr>
          <w:lang w:val="en-GB"/>
        </w:rPr>
        <w:t>epoxy</w:t>
      </w:r>
      <w:proofErr w:type="gramEnd"/>
    </w:p>
    <w:p w:rsidR="00BF05B6" w:rsidRPr="00CD5F3E" w:rsidRDefault="00BF05B6" w:rsidP="00BF05B6">
      <w:pPr>
        <w:suppressAutoHyphens/>
        <w:contextualSpacing/>
        <w:jc w:val="both"/>
      </w:pPr>
    </w:p>
    <w:p w:rsidR="00BF05B6" w:rsidRPr="009C7933" w:rsidRDefault="00BF05B6" w:rsidP="00BF05B6">
      <w:pPr>
        <w:numPr>
          <w:ilvl w:val="0"/>
          <w:numId w:val="1"/>
        </w:numPr>
        <w:tabs>
          <w:tab w:val="clear" w:pos="0"/>
          <w:tab w:val="num" w:pos="426"/>
        </w:tabs>
        <w:suppressAutoHyphens/>
        <w:contextualSpacing/>
        <w:jc w:val="both"/>
        <w:rPr>
          <w:i/>
          <w:sz w:val="20"/>
          <w:szCs w:val="20"/>
        </w:rPr>
      </w:pPr>
      <w:r>
        <w:rPr>
          <w:i/>
          <w:sz w:val="20"/>
          <w:szCs w:val="20"/>
        </w:rPr>
        <w:t>Engenharia de Materiais</w:t>
      </w:r>
      <w:r w:rsidRPr="009C7933">
        <w:rPr>
          <w:i/>
          <w:sz w:val="20"/>
          <w:szCs w:val="20"/>
        </w:rPr>
        <w:t xml:space="preserve">, </w:t>
      </w:r>
      <w:r>
        <w:rPr>
          <w:i/>
          <w:sz w:val="20"/>
          <w:szCs w:val="20"/>
        </w:rPr>
        <w:t>estudante, Departamento de Materiais, Centro Universitário da FEI</w:t>
      </w:r>
      <w:r w:rsidRPr="009C7933">
        <w:rPr>
          <w:i/>
          <w:sz w:val="20"/>
          <w:szCs w:val="20"/>
        </w:rPr>
        <w:t xml:space="preserve">, </w:t>
      </w:r>
      <w:r>
        <w:rPr>
          <w:i/>
          <w:sz w:val="20"/>
          <w:szCs w:val="20"/>
        </w:rPr>
        <w:t>São Bernardo do Campo, São Paulo, Brasil.</w:t>
      </w:r>
    </w:p>
    <w:p w:rsidR="00BF05B6" w:rsidRPr="009C7933" w:rsidRDefault="00BF05B6" w:rsidP="00BF05B6">
      <w:pPr>
        <w:numPr>
          <w:ilvl w:val="0"/>
          <w:numId w:val="1"/>
        </w:numPr>
        <w:tabs>
          <w:tab w:val="clear" w:pos="0"/>
          <w:tab w:val="num" w:pos="426"/>
        </w:tabs>
        <w:suppressAutoHyphens/>
        <w:contextualSpacing/>
        <w:jc w:val="both"/>
        <w:rPr>
          <w:i/>
          <w:sz w:val="20"/>
          <w:szCs w:val="20"/>
        </w:rPr>
      </w:pPr>
      <w:r>
        <w:rPr>
          <w:i/>
          <w:sz w:val="20"/>
          <w:szCs w:val="20"/>
        </w:rPr>
        <w:t>Engenharia Mecânica</w:t>
      </w:r>
      <w:r w:rsidRPr="009C7933">
        <w:rPr>
          <w:i/>
          <w:sz w:val="20"/>
          <w:szCs w:val="20"/>
        </w:rPr>
        <w:t xml:space="preserve">, </w:t>
      </w:r>
      <w:proofErr w:type="gramStart"/>
      <w:r>
        <w:rPr>
          <w:i/>
          <w:sz w:val="20"/>
          <w:szCs w:val="20"/>
        </w:rPr>
        <w:t>Dra.</w:t>
      </w:r>
      <w:proofErr w:type="gramEnd"/>
      <w:r>
        <w:rPr>
          <w:i/>
          <w:sz w:val="20"/>
          <w:szCs w:val="20"/>
        </w:rPr>
        <w:t>, Professora</w:t>
      </w:r>
      <w:r w:rsidRPr="009C7933">
        <w:rPr>
          <w:i/>
          <w:sz w:val="20"/>
          <w:szCs w:val="20"/>
        </w:rPr>
        <w:t xml:space="preserve">, </w:t>
      </w:r>
      <w:r>
        <w:rPr>
          <w:i/>
          <w:sz w:val="20"/>
          <w:szCs w:val="20"/>
        </w:rPr>
        <w:t>Departamento de Materiais, Centro Universitário da FEI</w:t>
      </w:r>
      <w:r w:rsidRPr="009C7933">
        <w:rPr>
          <w:i/>
          <w:sz w:val="20"/>
          <w:szCs w:val="20"/>
        </w:rPr>
        <w:t xml:space="preserve">, </w:t>
      </w:r>
      <w:r>
        <w:rPr>
          <w:i/>
          <w:sz w:val="20"/>
          <w:szCs w:val="20"/>
        </w:rPr>
        <w:t>São Bernardo do Campo, São Paulo, Brasil</w:t>
      </w:r>
    </w:p>
    <w:p w:rsidR="00BF05B6" w:rsidRPr="00C26D8C" w:rsidRDefault="00BF05B6" w:rsidP="00BF05B6">
      <w:pPr>
        <w:rPr>
          <w:i/>
          <w:sz w:val="20"/>
          <w:szCs w:val="20"/>
        </w:rPr>
      </w:pPr>
      <w:r w:rsidRPr="009F6972">
        <w:rPr>
          <w:b/>
        </w:rPr>
        <w:br w:type="page"/>
      </w:r>
      <w:proofErr w:type="gramStart"/>
      <w:r w:rsidRPr="009F6972">
        <w:rPr>
          <w:b/>
        </w:rPr>
        <w:lastRenderedPageBreak/>
        <w:t>1</w:t>
      </w:r>
      <w:proofErr w:type="gramEnd"/>
      <w:r w:rsidRPr="009F6972">
        <w:rPr>
          <w:b/>
        </w:rPr>
        <w:t xml:space="preserve"> INTRODUÇÃO</w:t>
      </w:r>
    </w:p>
    <w:p w:rsidR="00BF05B6" w:rsidRPr="00A30F45" w:rsidRDefault="00BF05B6" w:rsidP="00BF05B6">
      <w:pPr>
        <w:pStyle w:val="Corpodetexto"/>
        <w:suppressAutoHyphens/>
        <w:spacing w:before="120"/>
        <w:contextualSpacing/>
        <w:rPr>
          <w:rFonts w:cs="Times New Roman"/>
          <w:b w:val="0"/>
          <w:sz w:val="24"/>
        </w:rPr>
      </w:pPr>
      <w:r w:rsidRPr="007C0070">
        <w:rPr>
          <w:rFonts w:cs="Times New Roman"/>
          <w:b w:val="0"/>
          <w:sz w:val="24"/>
        </w:rPr>
        <w:t xml:space="preserve">Os materiais compósitos laminados são muito utilizados nas indústrias aeronáutica e aeroespacial. São altamente resistentes e mais leves que as ligas de alumínio usadas atualmente, permitindo a redução da quantidade de material utilizado, no consumo de combustível e na manutenção. Isso acontece em função da resistência e rigidez específicas dos compósitos, que podem ser cinco vezes maiores do que </w:t>
      </w:r>
      <w:r>
        <w:rPr>
          <w:rFonts w:cs="Times New Roman"/>
          <w:b w:val="0"/>
          <w:sz w:val="24"/>
        </w:rPr>
        <w:t>as</w:t>
      </w:r>
      <w:r w:rsidRPr="007C0070">
        <w:rPr>
          <w:rFonts w:cs="Times New Roman"/>
          <w:b w:val="0"/>
          <w:sz w:val="24"/>
        </w:rPr>
        <w:t xml:space="preserve"> do alumínio.</w:t>
      </w:r>
      <w:r>
        <w:rPr>
          <w:rFonts w:cs="Times New Roman"/>
          <w:b w:val="0"/>
          <w:sz w:val="24"/>
        </w:rPr>
        <w:t xml:space="preserve"> Porém, estes materiais apresentam, entre outros mecanismos de danos, a delaminação, que é considerado o mecanismo mais preocupante, pois, além de ser </w:t>
      </w:r>
      <w:proofErr w:type="spellStart"/>
      <w:r>
        <w:rPr>
          <w:rFonts w:cs="Times New Roman"/>
          <w:b w:val="0"/>
          <w:sz w:val="24"/>
        </w:rPr>
        <w:t>subsuperficial</w:t>
      </w:r>
      <w:proofErr w:type="spellEnd"/>
      <w:r>
        <w:rPr>
          <w:rFonts w:cs="Times New Roman"/>
          <w:b w:val="0"/>
          <w:sz w:val="24"/>
        </w:rPr>
        <w:t xml:space="preserve">, promove a fratura </w:t>
      </w:r>
      <w:r w:rsidRPr="00A30F45">
        <w:rPr>
          <w:rFonts w:cs="Times New Roman"/>
          <w:b w:val="0"/>
          <w:sz w:val="24"/>
        </w:rPr>
        <w:t>catastrófica [1, 2, 3].</w:t>
      </w:r>
    </w:p>
    <w:p w:rsidR="00BF05B6" w:rsidRPr="00A30F45" w:rsidRDefault="00BF05B6" w:rsidP="00BF05B6">
      <w:pPr>
        <w:pStyle w:val="NormalWeb"/>
        <w:shd w:val="clear" w:color="auto" w:fill="FFFFFF"/>
        <w:spacing w:before="0" w:beforeAutospacing="0" w:after="0" w:afterAutospacing="0"/>
        <w:jc w:val="both"/>
        <w:rPr>
          <w:rFonts w:ascii="Arial" w:hAnsi="Arial" w:cs="Arial"/>
        </w:rPr>
      </w:pPr>
      <w:r w:rsidRPr="00A30F45">
        <w:rPr>
          <w:rFonts w:ascii="Arial" w:hAnsi="Arial" w:cs="Arial"/>
        </w:rPr>
        <w:t>Para análise de delaminação de materiais compósitos laminados, o parâmetro mais importante a ser determinado é a energia crítica de fratura (G</w:t>
      </w:r>
      <w:r w:rsidRPr="00A30F45">
        <w:rPr>
          <w:rFonts w:ascii="Arial" w:hAnsi="Arial" w:cs="Arial"/>
          <w:vertAlign w:val="subscript"/>
        </w:rPr>
        <w:t>C</w:t>
      </w:r>
      <w:r w:rsidRPr="00A30F45">
        <w:rPr>
          <w:rFonts w:ascii="Arial" w:hAnsi="Arial" w:cs="Arial"/>
        </w:rPr>
        <w:t xml:space="preserve">), que é a energia necessária para iniciar a trinca. Para esses ensaios, é feito uma trinca artificial que define como será a propagação. Os testes são executados em função do tipo, ou modos, de abertura da trinca conforme </w:t>
      </w:r>
      <w:r w:rsidRPr="00A30F45">
        <w:rPr>
          <w:rFonts w:ascii="Arial" w:hAnsi="Arial" w:cs="Arial"/>
        </w:rPr>
        <w:fldChar w:fldCharType="begin"/>
      </w:r>
      <w:r w:rsidRPr="00A30F45">
        <w:rPr>
          <w:rFonts w:ascii="Arial" w:hAnsi="Arial" w:cs="Arial"/>
        </w:rPr>
        <w:instrText xml:space="preserve"> REF _Ref364278889 \h  \* MERGEFORMAT </w:instrText>
      </w:r>
      <w:r w:rsidRPr="00A30F45">
        <w:rPr>
          <w:rFonts w:ascii="Arial" w:hAnsi="Arial" w:cs="Arial"/>
        </w:rPr>
      </w:r>
      <w:r w:rsidRPr="00A30F45">
        <w:rPr>
          <w:rFonts w:ascii="Arial" w:hAnsi="Arial" w:cs="Arial"/>
        </w:rPr>
        <w:fldChar w:fldCharType="separate"/>
      </w:r>
      <w:r w:rsidRPr="00BF05B6">
        <w:rPr>
          <w:rFonts w:ascii="Arial" w:hAnsi="Arial" w:cs="Arial"/>
        </w:rPr>
        <w:t>Figura</w:t>
      </w:r>
      <w:r w:rsidRPr="00A30F45">
        <w:rPr>
          <w:rFonts w:ascii="Arial" w:hAnsi="Arial" w:cs="Arial"/>
        </w:rPr>
        <w:t xml:space="preserve"> </w:t>
      </w:r>
      <w:r w:rsidRPr="00A30F45">
        <w:rPr>
          <w:rFonts w:ascii="Arial" w:hAnsi="Arial" w:cs="Arial"/>
          <w:noProof/>
        </w:rPr>
        <w:t>1</w:t>
      </w:r>
      <w:r w:rsidRPr="00A30F45">
        <w:rPr>
          <w:rFonts w:ascii="Arial" w:hAnsi="Arial" w:cs="Arial"/>
        </w:rPr>
        <w:fldChar w:fldCharType="end"/>
      </w:r>
      <w:r w:rsidRPr="00A30F45">
        <w:rPr>
          <w:rFonts w:ascii="Arial" w:hAnsi="Arial" w:cs="Arial"/>
        </w:rPr>
        <w:t xml:space="preserve"> [1, 4].</w:t>
      </w:r>
    </w:p>
    <w:p w:rsidR="00BF05B6" w:rsidRPr="00D35AD7" w:rsidRDefault="00BF05B6" w:rsidP="00BF05B6">
      <w:pPr>
        <w:pStyle w:val="NormalWeb"/>
        <w:shd w:val="clear" w:color="auto" w:fill="FFFFFF"/>
        <w:spacing w:before="0" w:beforeAutospacing="0" w:after="0" w:afterAutospacing="0"/>
        <w:jc w:val="both"/>
        <w:rPr>
          <w:rFonts w:ascii="Arial" w:hAnsi="Arial" w:cs="Arial"/>
          <w:color w:val="000000"/>
        </w:rPr>
      </w:pPr>
    </w:p>
    <w:p w:rsidR="00BF05B6" w:rsidRPr="00D35AD7" w:rsidRDefault="00BF05B6" w:rsidP="00BF05B6">
      <w:pPr>
        <w:pStyle w:val="NormalWeb"/>
        <w:shd w:val="clear" w:color="auto" w:fill="FFFFFF"/>
        <w:spacing w:before="0" w:beforeAutospacing="0" w:after="0" w:afterAutospacing="0"/>
        <w:jc w:val="center"/>
        <w:rPr>
          <w:rFonts w:ascii="Arial" w:hAnsi="Arial" w:cs="Arial"/>
          <w:color w:val="000000"/>
        </w:rPr>
      </w:pPr>
      <w:r w:rsidRPr="00D35AD7">
        <w:rPr>
          <w:rFonts w:ascii="Arial" w:hAnsi="Arial" w:cs="Arial"/>
          <w:noProof/>
          <w:color w:val="000000"/>
        </w:rPr>
        <w:drawing>
          <wp:inline distT="0" distB="0" distL="0" distR="0" wp14:anchorId="5BA4E212" wp14:editId="5F81BCDB">
            <wp:extent cx="3104707" cy="1437229"/>
            <wp:effectExtent l="0" t="0" r="63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5472" cy="1442212"/>
                    </a:xfrm>
                    <a:prstGeom prst="rect">
                      <a:avLst/>
                    </a:prstGeom>
                    <a:noFill/>
                    <a:ln>
                      <a:noFill/>
                    </a:ln>
                  </pic:spPr>
                </pic:pic>
              </a:graphicData>
            </a:graphic>
          </wp:inline>
        </w:drawing>
      </w:r>
    </w:p>
    <w:p w:rsidR="00BF05B6" w:rsidRDefault="00BF05B6" w:rsidP="00BF05B6">
      <w:pPr>
        <w:pStyle w:val="Legenda"/>
        <w:spacing w:after="0"/>
        <w:rPr>
          <w:rFonts w:cs="Arial"/>
          <w:szCs w:val="24"/>
        </w:rPr>
      </w:pPr>
      <w:bookmarkStart w:id="0" w:name="_Ref364278889"/>
      <w:bookmarkStart w:id="1" w:name="_Toc380766915"/>
      <w:r w:rsidRPr="00D35AD7">
        <w:rPr>
          <w:rFonts w:cs="Arial"/>
          <w:b/>
          <w:szCs w:val="24"/>
        </w:rPr>
        <w:t xml:space="preserve">Figura </w:t>
      </w:r>
      <w:bookmarkEnd w:id="0"/>
      <w:r w:rsidRPr="00D35AD7">
        <w:rPr>
          <w:rFonts w:cs="Arial"/>
          <w:b/>
          <w:szCs w:val="24"/>
        </w:rPr>
        <w:t>1.</w:t>
      </w:r>
      <w:r w:rsidRPr="00D35AD7">
        <w:rPr>
          <w:rFonts w:cs="Arial"/>
          <w:szCs w:val="24"/>
        </w:rPr>
        <w:t xml:space="preserve"> Modos de abertura da trinca</w:t>
      </w:r>
      <w:bookmarkEnd w:id="1"/>
      <w:r>
        <w:rPr>
          <w:rFonts w:cs="Arial"/>
          <w:szCs w:val="24"/>
        </w:rPr>
        <w:t>.</w:t>
      </w:r>
    </w:p>
    <w:p w:rsidR="00BF05B6" w:rsidRPr="003100E2" w:rsidRDefault="00BF05B6" w:rsidP="00BF05B6">
      <w:pPr>
        <w:rPr>
          <w:lang w:eastAsia="en-US"/>
        </w:rPr>
      </w:pPr>
    </w:p>
    <w:p w:rsidR="00BF05B6" w:rsidRDefault="00BF05B6" w:rsidP="00BF05B6">
      <w:pPr>
        <w:pStyle w:val="NormalWeb"/>
        <w:shd w:val="clear" w:color="auto" w:fill="FFFFFF"/>
        <w:spacing w:before="0" w:beforeAutospacing="0" w:after="0" w:afterAutospacing="0"/>
        <w:ind w:firstLine="708"/>
        <w:jc w:val="both"/>
        <w:rPr>
          <w:rFonts w:ascii="Arial" w:hAnsi="Arial" w:cs="Arial"/>
          <w:color w:val="000000"/>
        </w:rPr>
      </w:pPr>
      <w:r>
        <w:rPr>
          <w:rFonts w:ascii="Arial" w:hAnsi="Arial" w:cs="Arial"/>
          <w:color w:val="000000"/>
        </w:rPr>
        <w:t>No presente</w:t>
      </w:r>
      <w:r w:rsidRPr="00D35AD7">
        <w:rPr>
          <w:rFonts w:ascii="Arial" w:hAnsi="Arial" w:cs="Arial"/>
          <w:color w:val="000000"/>
        </w:rPr>
        <w:t xml:space="preserve"> trabalho, somente serão </w:t>
      </w:r>
      <w:r>
        <w:rPr>
          <w:rFonts w:ascii="Arial" w:hAnsi="Arial" w:cs="Arial"/>
          <w:color w:val="000000"/>
        </w:rPr>
        <w:t>caracterizados os processos de delaminação em Modo I e II, sendo o</w:t>
      </w:r>
      <w:r w:rsidRPr="00D35AD7">
        <w:rPr>
          <w:rFonts w:ascii="Arial" w:hAnsi="Arial" w:cs="Arial"/>
          <w:color w:val="000000"/>
        </w:rPr>
        <w:t>s testes para essa caracterização</w:t>
      </w:r>
      <w:r>
        <w:rPr>
          <w:rFonts w:ascii="Arial" w:hAnsi="Arial" w:cs="Arial"/>
          <w:color w:val="000000"/>
        </w:rPr>
        <w:t xml:space="preserve">, </w:t>
      </w:r>
      <w:r w:rsidRPr="00D35AD7">
        <w:rPr>
          <w:rFonts w:ascii="Arial" w:hAnsi="Arial" w:cs="Arial"/>
          <w:color w:val="000000"/>
        </w:rPr>
        <w:t>DCB (</w:t>
      </w:r>
      <w:r w:rsidRPr="00D35AD7">
        <w:rPr>
          <w:rFonts w:ascii="Arial" w:hAnsi="Arial" w:cs="Arial"/>
          <w:i/>
          <w:color w:val="000000"/>
        </w:rPr>
        <w:t>Double-</w:t>
      </w:r>
      <w:proofErr w:type="spellStart"/>
      <w:r w:rsidRPr="00D35AD7">
        <w:rPr>
          <w:rFonts w:ascii="Arial" w:hAnsi="Arial" w:cs="Arial"/>
          <w:i/>
          <w:color w:val="000000"/>
        </w:rPr>
        <w:t>cantilever</w:t>
      </w:r>
      <w:proofErr w:type="spellEnd"/>
      <w:r w:rsidRPr="00D35AD7">
        <w:rPr>
          <w:rFonts w:ascii="Arial" w:hAnsi="Arial" w:cs="Arial"/>
          <w:i/>
          <w:color w:val="000000"/>
        </w:rPr>
        <w:t xml:space="preserve"> </w:t>
      </w:r>
      <w:proofErr w:type="spellStart"/>
      <w:r w:rsidRPr="00D35AD7">
        <w:rPr>
          <w:rFonts w:ascii="Arial" w:hAnsi="Arial" w:cs="Arial"/>
          <w:i/>
          <w:color w:val="000000"/>
        </w:rPr>
        <w:t>Beam</w:t>
      </w:r>
      <w:proofErr w:type="spellEnd"/>
      <w:r w:rsidRPr="00D35AD7">
        <w:rPr>
          <w:rFonts w:ascii="Arial" w:hAnsi="Arial" w:cs="Arial"/>
          <w:color w:val="000000"/>
        </w:rPr>
        <w:t>) para o Modo I e o ENF (</w:t>
      </w:r>
      <w:proofErr w:type="spellStart"/>
      <w:r w:rsidRPr="00D35AD7">
        <w:rPr>
          <w:rFonts w:ascii="Arial" w:hAnsi="Arial" w:cs="Arial"/>
          <w:i/>
          <w:color w:val="000000"/>
        </w:rPr>
        <w:t>End-notched</w:t>
      </w:r>
      <w:proofErr w:type="spellEnd"/>
      <w:r w:rsidRPr="00D35AD7">
        <w:rPr>
          <w:rFonts w:ascii="Arial" w:hAnsi="Arial" w:cs="Arial"/>
          <w:i/>
          <w:color w:val="000000"/>
        </w:rPr>
        <w:t xml:space="preserve"> </w:t>
      </w:r>
      <w:proofErr w:type="spellStart"/>
      <w:r w:rsidRPr="00D35AD7">
        <w:rPr>
          <w:rFonts w:ascii="Arial" w:hAnsi="Arial" w:cs="Arial"/>
          <w:i/>
          <w:color w:val="000000"/>
        </w:rPr>
        <w:t>Flexure</w:t>
      </w:r>
      <w:proofErr w:type="spellEnd"/>
      <w:r w:rsidRPr="00D35AD7">
        <w:rPr>
          <w:rFonts w:ascii="Arial" w:hAnsi="Arial" w:cs="Arial"/>
          <w:color w:val="000000"/>
        </w:rPr>
        <w:t xml:space="preserve">) para o Modo II, </w:t>
      </w:r>
      <w:r>
        <w:rPr>
          <w:rFonts w:ascii="Arial" w:hAnsi="Arial" w:cs="Arial"/>
          <w:color w:val="000000"/>
        </w:rPr>
        <w:t xml:space="preserve">pois </w:t>
      </w:r>
      <w:proofErr w:type="gramStart"/>
      <w:r>
        <w:rPr>
          <w:rFonts w:ascii="Arial" w:hAnsi="Arial" w:cs="Arial"/>
          <w:color w:val="000000"/>
        </w:rPr>
        <w:t>considera-se</w:t>
      </w:r>
      <w:proofErr w:type="gramEnd"/>
      <w:r>
        <w:rPr>
          <w:rFonts w:ascii="Arial" w:hAnsi="Arial" w:cs="Arial"/>
          <w:color w:val="000000"/>
        </w:rPr>
        <w:t xml:space="preserve"> </w:t>
      </w:r>
      <w:r w:rsidRPr="00D35AD7">
        <w:rPr>
          <w:rFonts w:ascii="Arial" w:hAnsi="Arial" w:cs="Arial"/>
          <w:color w:val="000000"/>
        </w:rPr>
        <w:t xml:space="preserve">que o Modo III é aproximadamente igual ao Modo II. </w:t>
      </w:r>
    </w:p>
    <w:p w:rsidR="00BF05B6" w:rsidRPr="00D35AD7" w:rsidRDefault="00BF05B6" w:rsidP="00BF05B6">
      <w:pPr>
        <w:pStyle w:val="NormalWeb"/>
        <w:shd w:val="clear" w:color="auto" w:fill="FFFFFF"/>
        <w:spacing w:before="0" w:beforeAutospacing="0" w:after="0" w:afterAutospacing="0"/>
        <w:ind w:firstLine="708"/>
        <w:jc w:val="both"/>
        <w:rPr>
          <w:rFonts w:ascii="Arial" w:hAnsi="Arial" w:cs="Arial"/>
          <w:color w:val="FF0000"/>
        </w:rPr>
      </w:pPr>
    </w:p>
    <w:p w:rsidR="00BF05B6" w:rsidRPr="00D35AD7" w:rsidRDefault="00BF05B6" w:rsidP="00BF05B6">
      <w:pPr>
        <w:pStyle w:val="Subttulo"/>
        <w:numPr>
          <w:ilvl w:val="1"/>
          <w:numId w:val="4"/>
        </w:numPr>
        <w:spacing w:before="0" w:after="120" w:line="240" w:lineRule="auto"/>
        <w:ind w:left="992"/>
        <w:outlineLvl w:val="2"/>
        <w:rPr>
          <w:rFonts w:ascii="Arial" w:hAnsi="Arial" w:cs="Arial"/>
          <w:i/>
        </w:rPr>
      </w:pPr>
      <w:bookmarkStart w:id="2" w:name="_Toc380767026"/>
      <w:r w:rsidRPr="00D35AD7">
        <w:rPr>
          <w:rFonts w:ascii="Arial" w:hAnsi="Arial" w:cs="Arial"/>
        </w:rPr>
        <w:t>DCB (Double-</w:t>
      </w:r>
      <w:proofErr w:type="spellStart"/>
      <w:r w:rsidRPr="00D35AD7">
        <w:rPr>
          <w:rFonts w:ascii="Arial" w:hAnsi="Arial" w:cs="Arial"/>
        </w:rPr>
        <w:t>cantilever</w:t>
      </w:r>
      <w:proofErr w:type="spellEnd"/>
      <w:r w:rsidRPr="00D35AD7">
        <w:rPr>
          <w:rFonts w:ascii="Arial" w:hAnsi="Arial" w:cs="Arial"/>
        </w:rPr>
        <w:t xml:space="preserve"> </w:t>
      </w:r>
      <w:proofErr w:type="spellStart"/>
      <w:r w:rsidRPr="00D35AD7">
        <w:rPr>
          <w:rFonts w:ascii="Arial" w:hAnsi="Arial" w:cs="Arial"/>
        </w:rPr>
        <w:t>Beam</w:t>
      </w:r>
      <w:proofErr w:type="spellEnd"/>
      <w:r w:rsidRPr="00D35AD7">
        <w:rPr>
          <w:rFonts w:ascii="Arial" w:hAnsi="Arial" w:cs="Arial"/>
        </w:rPr>
        <w:t>)</w:t>
      </w:r>
      <w:bookmarkEnd w:id="2"/>
    </w:p>
    <w:p w:rsidR="00BF05B6" w:rsidRPr="00D35AD7" w:rsidRDefault="00BF05B6" w:rsidP="00BF05B6">
      <w:pPr>
        <w:pStyle w:val="NormalWeb"/>
        <w:shd w:val="clear" w:color="auto" w:fill="FFFFFF"/>
        <w:spacing w:before="0" w:beforeAutospacing="0" w:after="0" w:afterAutospacing="0"/>
        <w:ind w:firstLine="708"/>
        <w:jc w:val="both"/>
        <w:rPr>
          <w:rFonts w:ascii="Arial" w:hAnsi="Arial" w:cs="Arial"/>
          <w:color w:val="000000"/>
        </w:rPr>
      </w:pPr>
      <w:r w:rsidRPr="00D35AD7">
        <w:rPr>
          <w:rFonts w:ascii="Arial" w:hAnsi="Arial" w:cs="Arial"/>
          <w:color w:val="000000"/>
        </w:rPr>
        <w:t xml:space="preserve">De acordo </w:t>
      </w:r>
      <w:r w:rsidRPr="00A30F45">
        <w:rPr>
          <w:rFonts w:ascii="Arial" w:hAnsi="Arial" w:cs="Arial"/>
        </w:rPr>
        <w:t xml:space="preserve">com </w:t>
      </w:r>
      <w:proofErr w:type="spellStart"/>
      <w:r w:rsidRPr="00A30F45">
        <w:rPr>
          <w:rFonts w:ascii="Arial" w:hAnsi="Arial" w:cs="Arial"/>
        </w:rPr>
        <w:t>Chai</w:t>
      </w:r>
      <w:proofErr w:type="spellEnd"/>
      <w:r w:rsidRPr="00A30F45">
        <w:rPr>
          <w:rFonts w:ascii="Arial" w:hAnsi="Arial" w:cs="Arial"/>
        </w:rPr>
        <w:t xml:space="preserve"> [4], o Modo I é o responsável por ampliar o efeito de delaminação. O cálculo do G</w:t>
      </w:r>
      <w:r w:rsidRPr="00A30F45">
        <w:rPr>
          <w:rFonts w:ascii="Arial" w:hAnsi="Arial" w:cs="Arial"/>
          <w:vertAlign w:val="subscript"/>
        </w:rPr>
        <w:t>IC</w:t>
      </w:r>
      <w:r w:rsidRPr="00A30F45">
        <w:rPr>
          <w:rFonts w:ascii="Arial" w:hAnsi="Arial" w:cs="Arial"/>
        </w:rPr>
        <w:t xml:space="preserve"> está representado pela Equação </w:t>
      </w:r>
      <w:proofErr w:type="gramStart"/>
      <w:r w:rsidRPr="00A30F45">
        <w:rPr>
          <w:rFonts w:ascii="Arial" w:hAnsi="Arial" w:cs="Arial"/>
        </w:rPr>
        <w:t>1</w:t>
      </w:r>
      <w:proofErr w:type="gramEnd"/>
      <w:r w:rsidRPr="00A30F45">
        <w:rPr>
          <w:rFonts w:ascii="Arial" w:hAnsi="Arial" w:cs="Arial"/>
        </w:rPr>
        <w:t xml:space="preserve">, sendo necessário ter o conhecimento da compliância (Equação 2) [4, 5]. </w:t>
      </w:r>
    </w:p>
    <w:tbl>
      <w:tblPr>
        <w:tblStyle w:val="Tabelacomgrade"/>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81"/>
      </w:tblGrid>
      <w:tr w:rsidR="00BF05B6" w:rsidRPr="00D35AD7" w:rsidTr="008E6131">
        <w:tc>
          <w:tcPr>
            <w:tcW w:w="8330" w:type="dxa"/>
          </w:tcPr>
          <w:p w:rsidR="00BF05B6" w:rsidRPr="00EE51E9" w:rsidRDefault="00BF05B6" w:rsidP="008E6131">
            <w:pPr>
              <w:pStyle w:val="NormalWeb"/>
              <w:spacing w:before="0" w:beforeAutospacing="0" w:after="0" w:afterAutospacing="0"/>
              <w:jc w:val="both"/>
              <w:rPr>
                <w:rFonts w:ascii="Arial" w:hAnsi="Arial" w:cs="Arial"/>
                <w:color w:val="000000"/>
              </w:rPr>
            </w:pPr>
            <m:oMathPara>
              <m:oMathParaPr>
                <m:jc m:val="center"/>
              </m:oMathParaPr>
              <m:oMath>
                <m:sSub>
                  <m:sSubPr>
                    <m:ctrlPr>
                      <w:rPr>
                        <w:rFonts w:ascii="Cambria Math" w:hAnsi="Cambria Math" w:cs="Arial"/>
                        <w:i/>
                        <w:color w:val="000000"/>
                      </w:rPr>
                    </m:ctrlPr>
                  </m:sSubPr>
                  <m:e>
                    <m:r>
                      <w:rPr>
                        <w:rFonts w:ascii="Cambria Math" w:hAnsi="Cambria Math" w:cs="Arial"/>
                        <w:color w:val="000000"/>
                      </w:rPr>
                      <m:t>G</m:t>
                    </m:r>
                  </m:e>
                  <m:sub>
                    <m:r>
                      <w:rPr>
                        <w:rFonts w:ascii="Cambria Math" w:hAnsi="Cambria Math" w:cs="Arial"/>
                        <w:color w:val="000000"/>
                      </w:rPr>
                      <m:t>IC</m:t>
                    </m:r>
                  </m:sub>
                </m:sSub>
                <m:r>
                  <w:rPr>
                    <w:rFonts w:ascii="Cambria Math" w:hAnsi="Cambria Math" w:cs="Arial"/>
                    <w:color w:val="000000"/>
                  </w:rPr>
                  <m:t xml:space="preserve">= </m:t>
                </m:r>
                <m:f>
                  <m:fPr>
                    <m:ctrlPr>
                      <w:rPr>
                        <w:rFonts w:ascii="Cambria Math" w:hAnsi="Cambria Math" w:cs="Arial"/>
                        <w:i/>
                        <w:color w:val="000000"/>
                      </w:rPr>
                    </m:ctrlPr>
                  </m:fPr>
                  <m:num>
                    <m:r>
                      <w:rPr>
                        <w:rFonts w:ascii="Cambria Math" w:hAnsi="Cambria Math" w:cs="Arial"/>
                        <w:color w:val="000000"/>
                      </w:rPr>
                      <m:t>n</m:t>
                    </m:r>
                  </m:num>
                  <m:den>
                    <m:r>
                      <w:rPr>
                        <w:rFonts w:ascii="Cambria Math" w:hAnsi="Cambria Math" w:cs="Arial"/>
                        <w:color w:val="000000"/>
                      </w:rPr>
                      <m:t>2b</m:t>
                    </m:r>
                  </m:den>
                </m:f>
                <m:f>
                  <m:fPr>
                    <m:ctrlPr>
                      <w:rPr>
                        <w:rFonts w:ascii="Cambria Math" w:hAnsi="Cambria Math" w:cs="Arial"/>
                        <w:i/>
                        <w:color w:val="000000"/>
                      </w:rPr>
                    </m:ctrlPr>
                  </m:fPr>
                  <m:num>
                    <m:r>
                      <w:rPr>
                        <w:rFonts w:ascii="Cambria Math" w:hAnsi="Cambria Math" w:cs="Arial"/>
                        <w:color w:val="000000"/>
                      </w:rPr>
                      <m:t>k</m:t>
                    </m:r>
                    <m:sSup>
                      <m:sSupPr>
                        <m:ctrlPr>
                          <w:rPr>
                            <w:rFonts w:ascii="Cambria Math" w:hAnsi="Cambria Math" w:cs="Arial"/>
                            <w:i/>
                            <w:color w:val="000000"/>
                          </w:rPr>
                        </m:ctrlPr>
                      </m:sSupPr>
                      <m:e>
                        <m:r>
                          <w:rPr>
                            <w:rFonts w:ascii="Cambria Math" w:hAnsi="Cambria Math" w:cs="Arial"/>
                            <w:color w:val="000000"/>
                          </w:rPr>
                          <m:t>P</m:t>
                        </m:r>
                      </m:e>
                      <m:sup>
                        <m:r>
                          <w:rPr>
                            <w:rFonts w:ascii="Cambria Math" w:hAnsi="Cambria Math" w:cs="Arial"/>
                            <w:color w:val="000000"/>
                          </w:rPr>
                          <m:t>2</m:t>
                        </m:r>
                      </m:sup>
                    </m:sSup>
                    <m:sSup>
                      <m:sSupPr>
                        <m:ctrlPr>
                          <w:rPr>
                            <w:rFonts w:ascii="Cambria Math" w:hAnsi="Cambria Math" w:cs="Arial"/>
                            <w:i/>
                            <w:color w:val="000000"/>
                          </w:rPr>
                        </m:ctrlPr>
                      </m:sSupPr>
                      <m:e>
                        <m:r>
                          <w:rPr>
                            <w:rFonts w:ascii="Cambria Math" w:hAnsi="Cambria Math" w:cs="Arial"/>
                            <w:color w:val="000000"/>
                          </w:rPr>
                          <m:t>a</m:t>
                        </m:r>
                      </m:e>
                      <m:sup>
                        <m:r>
                          <w:rPr>
                            <w:rFonts w:ascii="Cambria Math" w:hAnsi="Cambria Math" w:cs="Arial"/>
                            <w:color w:val="000000"/>
                          </w:rPr>
                          <m:t>n</m:t>
                        </m:r>
                      </m:sup>
                    </m:sSup>
                  </m:num>
                  <m:den>
                    <m:r>
                      <w:rPr>
                        <w:rFonts w:ascii="Cambria Math" w:hAnsi="Cambria Math" w:cs="Arial"/>
                        <w:color w:val="000000"/>
                      </w:rPr>
                      <m:t>a</m:t>
                    </m:r>
                  </m:den>
                </m:f>
              </m:oMath>
            </m:oMathPara>
          </w:p>
        </w:tc>
        <w:tc>
          <w:tcPr>
            <w:tcW w:w="881" w:type="dxa"/>
          </w:tcPr>
          <w:p w:rsidR="00BF05B6" w:rsidRPr="00D35AD7" w:rsidRDefault="00BF05B6" w:rsidP="008E6131">
            <w:pPr>
              <w:pStyle w:val="NormalWeb"/>
              <w:spacing w:before="0" w:beforeAutospacing="0" w:after="0" w:afterAutospacing="0"/>
              <w:jc w:val="right"/>
              <w:rPr>
                <w:rFonts w:ascii="Arial" w:hAnsi="Arial" w:cs="Arial"/>
                <w:color w:val="000000"/>
              </w:rPr>
            </w:pPr>
            <w:r w:rsidRPr="00D35AD7">
              <w:rPr>
                <w:rFonts w:ascii="Arial" w:hAnsi="Arial" w:cs="Arial"/>
                <w:color w:val="000000"/>
              </w:rPr>
              <w:t>(</w:t>
            </w:r>
            <w:r>
              <w:rPr>
                <w:rFonts w:ascii="Arial" w:hAnsi="Arial" w:cs="Arial"/>
                <w:color w:val="000000"/>
              </w:rPr>
              <w:t>1</w:t>
            </w:r>
            <w:r w:rsidRPr="00D35AD7">
              <w:rPr>
                <w:rFonts w:ascii="Arial" w:hAnsi="Arial" w:cs="Arial"/>
                <w:color w:val="000000"/>
              </w:rPr>
              <w:t>)</w:t>
            </w:r>
          </w:p>
        </w:tc>
      </w:tr>
      <w:tr w:rsidR="00BF05B6" w:rsidRPr="00D35AD7" w:rsidTr="008E6131">
        <w:tc>
          <w:tcPr>
            <w:tcW w:w="8330" w:type="dxa"/>
          </w:tcPr>
          <w:p w:rsidR="00BF05B6" w:rsidRDefault="00BF05B6" w:rsidP="008E6131">
            <w:pPr>
              <w:pStyle w:val="NormalWeb"/>
              <w:spacing w:before="0" w:beforeAutospacing="0" w:after="0" w:afterAutospacing="0"/>
              <w:jc w:val="both"/>
              <w:rPr>
                <w:rFonts w:ascii="Arial" w:hAnsi="Arial" w:cs="Arial"/>
                <w:color w:val="000000"/>
              </w:rPr>
            </w:pPr>
          </w:p>
        </w:tc>
        <w:tc>
          <w:tcPr>
            <w:tcW w:w="881" w:type="dxa"/>
          </w:tcPr>
          <w:p w:rsidR="00BF05B6" w:rsidRPr="00D35AD7" w:rsidRDefault="00BF05B6" w:rsidP="008E6131">
            <w:pPr>
              <w:pStyle w:val="NormalWeb"/>
              <w:spacing w:before="0" w:beforeAutospacing="0" w:after="0" w:afterAutospacing="0"/>
              <w:jc w:val="right"/>
              <w:rPr>
                <w:rFonts w:ascii="Arial" w:hAnsi="Arial" w:cs="Arial"/>
                <w:color w:val="000000"/>
              </w:rPr>
            </w:pPr>
          </w:p>
        </w:tc>
      </w:tr>
      <w:tr w:rsidR="00BF05B6" w:rsidRPr="00D35AD7" w:rsidTr="008E6131">
        <w:tc>
          <w:tcPr>
            <w:tcW w:w="8330" w:type="dxa"/>
          </w:tcPr>
          <w:p w:rsidR="00BF05B6" w:rsidRPr="00EE51E9" w:rsidRDefault="00BF05B6" w:rsidP="008E6131">
            <w:pPr>
              <w:pStyle w:val="NormalWeb"/>
              <w:spacing w:before="0" w:beforeAutospacing="0" w:after="0" w:afterAutospacing="0"/>
              <w:jc w:val="both"/>
              <w:rPr>
                <w:rFonts w:ascii="Arial" w:hAnsi="Arial" w:cs="Arial"/>
                <w:color w:val="000000"/>
              </w:rPr>
            </w:pPr>
            <m:oMathPara>
              <m:oMathParaPr>
                <m:jc m:val="center"/>
              </m:oMathParaPr>
              <m:oMath>
                <m:r>
                  <w:rPr>
                    <w:rFonts w:ascii="Cambria Math" w:hAnsi="Cambria Math" w:cs="Arial"/>
                    <w:color w:val="000000"/>
                  </w:rPr>
                  <m:t>C=</m:t>
                </m:r>
                <m:f>
                  <m:fPr>
                    <m:ctrlPr>
                      <w:rPr>
                        <w:rFonts w:ascii="Cambria Math" w:hAnsi="Cambria Math" w:cs="Arial"/>
                        <w:i/>
                        <w:color w:val="000000"/>
                      </w:rPr>
                    </m:ctrlPr>
                  </m:fPr>
                  <m:num>
                    <m:r>
                      <w:rPr>
                        <w:rFonts w:ascii="Cambria Math" w:hAnsi="Cambria Math" w:cs="Arial"/>
                        <w:color w:val="000000"/>
                      </w:rPr>
                      <m:t>δ</m:t>
                    </m:r>
                  </m:num>
                  <m:den>
                    <m:r>
                      <w:rPr>
                        <w:rFonts w:ascii="Cambria Math" w:hAnsi="Cambria Math" w:cs="Arial"/>
                        <w:color w:val="000000"/>
                      </w:rPr>
                      <m:t>P</m:t>
                    </m:r>
                  </m:den>
                </m:f>
                <m:r>
                  <w:rPr>
                    <w:rFonts w:ascii="Cambria Math" w:hAnsi="Cambria Math" w:cs="Arial"/>
                    <w:color w:val="000000"/>
                  </w:rPr>
                  <m:t>=</m:t>
                </m:r>
                <m:sSup>
                  <m:sSupPr>
                    <m:ctrlPr>
                      <w:rPr>
                        <w:rFonts w:ascii="Cambria Math" w:hAnsi="Cambria Math" w:cs="Arial"/>
                        <w:i/>
                        <w:color w:val="000000"/>
                      </w:rPr>
                    </m:ctrlPr>
                  </m:sSupPr>
                  <m:e>
                    <m:r>
                      <w:rPr>
                        <w:rFonts w:ascii="Cambria Math" w:hAnsi="Cambria Math" w:cs="Arial"/>
                        <w:color w:val="000000"/>
                      </w:rPr>
                      <m:t>k.a</m:t>
                    </m:r>
                  </m:e>
                  <m:sup>
                    <m:r>
                      <w:rPr>
                        <w:rFonts w:ascii="Cambria Math" w:hAnsi="Cambria Math" w:cs="Arial"/>
                        <w:color w:val="000000"/>
                      </w:rPr>
                      <m:t>n</m:t>
                    </m:r>
                  </m:sup>
                </m:sSup>
              </m:oMath>
            </m:oMathPara>
          </w:p>
        </w:tc>
        <w:tc>
          <w:tcPr>
            <w:tcW w:w="881" w:type="dxa"/>
          </w:tcPr>
          <w:p w:rsidR="00BF05B6" w:rsidRPr="00D35AD7" w:rsidRDefault="00BF05B6" w:rsidP="008E6131">
            <w:pPr>
              <w:pStyle w:val="NormalWeb"/>
              <w:spacing w:before="0" w:beforeAutospacing="0" w:after="0" w:afterAutospacing="0"/>
              <w:jc w:val="right"/>
              <w:rPr>
                <w:rFonts w:ascii="Arial" w:hAnsi="Arial" w:cs="Arial"/>
                <w:color w:val="000000"/>
              </w:rPr>
            </w:pPr>
            <w:r w:rsidRPr="00D35AD7">
              <w:rPr>
                <w:rFonts w:ascii="Arial" w:hAnsi="Arial" w:cs="Arial"/>
                <w:color w:val="000000"/>
              </w:rPr>
              <w:t>(</w:t>
            </w:r>
            <w:r>
              <w:rPr>
                <w:rFonts w:ascii="Arial" w:hAnsi="Arial" w:cs="Arial"/>
                <w:color w:val="000000"/>
              </w:rPr>
              <w:t>2</w:t>
            </w:r>
            <w:r w:rsidRPr="00D35AD7">
              <w:rPr>
                <w:rFonts w:ascii="Arial" w:hAnsi="Arial" w:cs="Arial"/>
                <w:color w:val="000000"/>
              </w:rPr>
              <w:t>)</w:t>
            </w:r>
          </w:p>
        </w:tc>
      </w:tr>
    </w:tbl>
    <w:p w:rsidR="00BF05B6" w:rsidRDefault="00BF05B6" w:rsidP="00BF05B6">
      <w:pPr>
        <w:pStyle w:val="NormalWeb"/>
        <w:shd w:val="clear" w:color="auto" w:fill="FFFFFF"/>
        <w:spacing w:before="0" w:beforeAutospacing="0" w:after="0" w:afterAutospacing="0"/>
        <w:ind w:firstLine="708"/>
        <w:jc w:val="both"/>
        <w:rPr>
          <w:rFonts w:ascii="Arial" w:hAnsi="Arial" w:cs="Arial"/>
          <w:color w:val="000000"/>
        </w:rPr>
      </w:pPr>
      <w:proofErr w:type="spellStart"/>
      <w:r w:rsidRPr="00A30F45">
        <w:rPr>
          <w:rFonts w:ascii="Arial" w:hAnsi="Arial" w:cs="Arial"/>
        </w:rPr>
        <w:t>Chai</w:t>
      </w:r>
      <w:proofErr w:type="spellEnd"/>
      <w:r w:rsidRPr="00A30F45">
        <w:rPr>
          <w:rFonts w:ascii="Arial" w:hAnsi="Arial" w:cs="Arial"/>
        </w:rPr>
        <w:t xml:space="preserve"> [4] realizou ensaios em compósito de epóxi e fibra de carbono multidirecional a fim de estudar o Modo I de delaminação. O corpo de prova utilizado por ele tinha uma trinca inicial de 50 mm, taxa de abertura de 1,3 mm/min e lâminas com orientações de 0°/0°, 45°/-45° e 90°/90°, variando dimensões e utilizando diferentes resinas epóxis. Os valores médios de G</w:t>
      </w:r>
      <w:r w:rsidRPr="00A30F45">
        <w:rPr>
          <w:rFonts w:ascii="Arial" w:hAnsi="Arial" w:cs="Arial"/>
          <w:vertAlign w:val="subscript"/>
        </w:rPr>
        <w:t>IC</w:t>
      </w:r>
      <w:r w:rsidRPr="00A30F45">
        <w:rPr>
          <w:rFonts w:ascii="Arial" w:hAnsi="Arial" w:cs="Arial"/>
        </w:rPr>
        <w:t xml:space="preserve"> encontrados foram de 129,84, 123, 99 e 138 N/m para as orientações de 0°/0°, 45°/-45° e 90°/90°, respectivamente. O fato de os valores serem inferiores a outros trabalhos, como Salerno [5] e Gill </w:t>
      </w:r>
      <w:proofErr w:type="gramStart"/>
      <w:r w:rsidRPr="00A30F45">
        <w:rPr>
          <w:rFonts w:ascii="Arial" w:hAnsi="Arial" w:cs="Arial"/>
        </w:rPr>
        <w:t>et</w:t>
      </w:r>
      <w:proofErr w:type="gramEnd"/>
      <w:r w:rsidRPr="00A30F45">
        <w:rPr>
          <w:rFonts w:ascii="Arial" w:hAnsi="Arial" w:cs="Arial"/>
        </w:rPr>
        <w:t xml:space="preserve"> al [6], se dá pela falta de agente de compatibilização, como o silano [4]. Gill </w:t>
      </w:r>
      <w:proofErr w:type="gramStart"/>
      <w:r w:rsidRPr="00A30F45">
        <w:rPr>
          <w:rFonts w:ascii="Arial" w:hAnsi="Arial" w:cs="Arial"/>
        </w:rPr>
        <w:t>et</w:t>
      </w:r>
      <w:proofErr w:type="gramEnd"/>
      <w:r w:rsidRPr="00A30F45">
        <w:rPr>
          <w:rFonts w:ascii="Arial" w:hAnsi="Arial" w:cs="Arial"/>
        </w:rPr>
        <w:t xml:space="preserve"> al [6] realizou seu trabalho variando a porcentagem de fibra de carbono entre 51,1%, 54,4% e 61,3</w:t>
      </w:r>
      <w:r w:rsidRPr="00D35AD7">
        <w:rPr>
          <w:rFonts w:ascii="Arial" w:hAnsi="Arial" w:cs="Arial"/>
          <w:color w:val="000000"/>
        </w:rPr>
        <w:t>%. Os G</w:t>
      </w:r>
      <w:r w:rsidRPr="00155FB6">
        <w:rPr>
          <w:rFonts w:ascii="Arial" w:hAnsi="Arial" w:cs="Arial"/>
          <w:vertAlign w:val="subscript"/>
        </w:rPr>
        <w:t>I</w:t>
      </w:r>
      <w:r w:rsidRPr="00D35AD7">
        <w:rPr>
          <w:rFonts w:ascii="Arial" w:hAnsi="Arial" w:cs="Arial"/>
          <w:color w:val="000000"/>
          <w:vertAlign w:val="subscript"/>
        </w:rPr>
        <w:t>C</w:t>
      </w:r>
      <w:r w:rsidRPr="00D35AD7">
        <w:rPr>
          <w:rFonts w:ascii="Arial" w:hAnsi="Arial" w:cs="Arial"/>
          <w:color w:val="000000"/>
        </w:rPr>
        <w:t xml:space="preserve"> por ele encontrados foram de 430, 525 e 741 J/m</w:t>
      </w:r>
      <w:r w:rsidRPr="00D35AD7">
        <w:rPr>
          <w:rFonts w:ascii="Arial" w:hAnsi="Arial" w:cs="Arial"/>
          <w:color w:val="000000"/>
          <w:vertAlign w:val="superscript"/>
        </w:rPr>
        <w:t>2</w:t>
      </w:r>
      <w:r w:rsidRPr="00D35AD7">
        <w:rPr>
          <w:rFonts w:ascii="Arial" w:hAnsi="Arial" w:cs="Arial"/>
          <w:color w:val="000000"/>
        </w:rPr>
        <w:t xml:space="preserve">, sendo que os ensaios foram realizados segundo </w:t>
      </w:r>
      <w:r w:rsidRPr="00A30F45">
        <w:rPr>
          <w:rFonts w:ascii="Arial" w:hAnsi="Arial" w:cs="Arial"/>
        </w:rPr>
        <w:t xml:space="preserve">norma ASTM D5528 </w:t>
      </w:r>
      <w:r w:rsidRPr="00A30F45">
        <w:rPr>
          <w:rFonts w:ascii="Arial" w:hAnsi="Arial" w:cs="Arial"/>
        </w:rPr>
        <w:lastRenderedPageBreak/>
        <w:t xml:space="preserve">[7]. O autor observou que há dois comportamentos na curva de resistência à delaminação, sendo que no primeiro, a energia de abertura de trinca diminui com o crescimento da trinca e o segundo onde </w:t>
      </w:r>
      <w:proofErr w:type="gramStart"/>
      <w:r w:rsidRPr="00A30F45">
        <w:rPr>
          <w:rFonts w:ascii="Arial" w:hAnsi="Arial" w:cs="Arial"/>
        </w:rPr>
        <w:t>aumenta,</w:t>
      </w:r>
      <w:proofErr w:type="gramEnd"/>
      <w:r w:rsidRPr="00A30F45">
        <w:rPr>
          <w:rFonts w:ascii="Arial" w:hAnsi="Arial" w:cs="Arial"/>
        </w:rPr>
        <w:t xml:space="preserve"> que é explicado pela propagação da trinca no sentido transversal da abertura de trinca (Modo II). Salerno [5] obteve um valor de 239±22 para lâminas 0°/0° e 687±88 J/m</w:t>
      </w:r>
      <w:r w:rsidRPr="00A30F45">
        <w:rPr>
          <w:rFonts w:ascii="Arial" w:hAnsi="Arial" w:cs="Arial"/>
          <w:vertAlign w:val="superscript"/>
        </w:rPr>
        <w:t>2</w:t>
      </w:r>
      <w:r w:rsidRPr="00A30F45">
        <w:rPr>
          <w:rFonts w:ascii="Arial" w:hAnsi="Arial" w:cs="Arial"/>
        </w:rPr>
        <w:t xml:space="preserve"> para 0°/90° utilizando um compósito unidirecional. Esse tipo de compósito apresenta poucos entrelaçamentos </w:t>
      </w:r>
      <w:r w:rsidRPr="00D35AD7">
        <w:rPr>
          <w:rFonts w:ascii="Arial" w:hAnsi="Arial" w:cs="Arial"/>
          <w:color w:val="000000"/>
        </w:rPr>
        <w:t>entre as fibras, diminuindo a resistência à delaminação. Porém, não existe o cisalhamento entre as próprias fibras, como em tecidos.</w:t>
      </w:r>
    </w:p>
    <w:p w:rsidR="00BF05B6" w:rsidRDefault="00BF05B6" w:rsidP="00BF05B6">
      <w:pPr>
        <w:pStyle w:val="NormalWeb"/>
        <w:shd w:val="clear" w:color="auto" w:fill="FFFFFF"/>
        <w:spacing w:before="0" w:beforeAutospacing="0" w:after="0" w:afterAutospacing="0"/>
        <w:jc w:val="center"/>
        <w:rPr>
          <w:rFonts w:ascii="Arial" w:hAnsi="Arial" w:cs="Arial"/>
          <w:color w:val="000000"/>
        </w:rPr>
      </w:pPr>
    </w:p>
    <w:p w:rsidR="00BF05B6" w:rsidRDefault="00BF05B6" w:rsidP="00BF05B6">
      <w:pPr>
        <w:pStyle w:val="Subttulo"/>
        <w:numPr>
          <w:ilvl w:val="1"/>
          <w:numId w:val="4"/>
        </w:numPr>
        <w:spacing w:before="0" w:after="120" w:line="240" w:lineRule="auto"/>
        <w:ind w:left="851" w:hanging="567"/>
        <w:outlineLvl w:val="2"/>
        <w:rPr>
          <w:rFonts w:ascii="Arial" w:hAnsi="Arial" w:cs="Arial"/>
        </w:rPr>
      </w:pPr>
      <w:bookmarkStart w:id="3" w:name="_Toc380767027"/>
      <w:r w:rsidRPr="00D35AD7">
        <w:rPr>
          <w:rFonts w:ascii="Arial" w:hAnsi="Arial" w:cs="Arial"/>
        </w:rPr>
        <w:t>ENF (</w:t>
      </w:r>
      <w:proofErr w:type="spellStart"/>
      <w:r w:rsidRPr="00D35AD7">
        <w:rPr>
          <w:rFonts w:ascii="Arial" w:hAnsi="Arial" w:cs="Arial"/>
        </w:rPr>
        <w:t>End-notched</w:t>
      </w:r>
      <w:proofErr w:type="spellEnd"/>
      <w:r w:rsidRPr="00D35AD7">
        <w:rPr>
          <w:rFonts w:ascii="Arial" w:hAnsi="Arial" w:cs="Arial"/>
        </w:rPr>
        <w:t xml:space="preserve"> </w:t>
      </w:r>
      <w:proofErr w:type="spellStart"/>
      <w:r w:rsidRPr="00D35AD7">
        <w:rPr>
          <w:rFonts w:ascii="Arial" w:hAnsi="Arial" w:cs="Arial"/>
        </w:rPr>
        <w:t>Flexure</w:t>
      </w:r>
      <w:proofErr w:type="spellEnd"/>
      <w:r w:rsidRPr="00D35AD7">
        <w:rPr>
          <w:rFonts w:ascii="Arial" w:hAnsi="Arial" w:cs="Arial"/>
        </w:rPr>
        <w:t>)</w:t>
      </w:r>
      <w:bookmarkEnd w:id="3"/>
    </w:p>
    <w:p w:rsidR="00BF05B6" w:rsidRDefault="00BF05B6" w:rsidP="00BF05B6">
      <w:pPr>
        <w:pStyle w:val="NormalWeb"/>
        <w:shd w:val="clear" w:color="auto" w:fill="FFFFFF"/>
        <w:spacing w:before="0" w:beforeAutospacing="0" w:after="0" w:afterAutospacing="0"/>
        <w:jc w:val="both"/>
        <w:rPr>
          <w:rFonts w:ascii="Arial" w:hAnsi="Arial" w:cs="Arial"/>
          <w:color w:val="000000"/>
        </w:rPr>
      </w:pPr>
      <w:r w:rsidRPr="00D35AD7">
        <w:rPr>
          <w:rFonts w:ascii="Arial" w:hAnsi="Arial" w:cs="Arial"/>
          <w:color w:val="000000"/>
        </w:rPr>
        <w:t xml:space="preserve">A </w:t>
      </w:r>
      <w:r w:rsidRPr="00A30F45">
        <w:rPr>
          <w:rFonts w:ascii="Arial" w:hAnsi="Arial" w:cs="Arial"/>
        </w:rPr>
        <w:fldChar w:fldCharType="begin"/>
      </w:r>
      <w:r w:rsidRPr="00A30F45">
        <w:rPr>
          <w:rFonts w:ascii="Arial" w:hAnsi="Arial" w:cs="Arial"/>
        </w:rPr>
        <w:instrText xml:space="preserve"> REF _Ref364291278 \h  \* MERGEFORMAT </w:instrText>
      </w:r>
      <w:r w:rsidRPr="00A30F45">
        <w:rPr>
          <w:rFonts w:ascii="Arial" w:hAnsi="Arial" w:cs="Arial"/>
        </w:rPr>
      </w:r>
      <w:r w:rsidRPr="00A30F45">
        <w:rPr>
          <w:rFonts w:ascii="Arial" w:hAnsi="Arial" w:cs="Arial"/>
        </w:rPr>
        <w:fldChar w:fldCharType="separate"/>
      </w:r>
      <w:r w:rsidRPr="00A30F45">
        <w:rPr>
          <w:rFonts w:ascii="Arial" w:hAnsi="Arial" w:cs="Arial"/>
        </w:rPr>
        <w:t xml:space="preserve">Figura </w:t>
      </w:r>
      <w:r w:rsidRPr="00A30F45">
        <w:rPr>
          <w:rFonts w:ascii="Arial" w:hAnsi="Arial" w:cs="Arial"/>
        </w:rPr>
        <w:fldChar w:fldCharType="end"/>
      </w:r>
      <w:proofErr w:type="gramStart"/>
      <w:r w:rsidRPr="00A30F45">
        <w:rPr>
          <w:rFonts w:ascii="Arial" w:hAnsi="Arial" w:cs="Arial"/>
        </w:rPr>
        <w:t>2</w:t>
      </w:r>
      <w:proofErr w:type="gramEnd"/>
      <w:r w:rsidRPr="00A30F45">
        <w:rPr>
          <w:rFonts w:ascii="Arial" w:hAnsi="Arial" w:cs="Arial"/>
        </w:rPr>
        <w:t xml:space="preserve"> é </w:t>
      </w:r>
      <w:r w:rsidRPr="00D35AD7">
        <w:rPr>
          <w:rFonts w:ascii="Arial" w:hAnsi="Arial" w:cs="Arial"/>
          <w:color w:val="000000"/>
        </w:rPr>
        <w:t xml:space="preserve">uma representação do ensaio de ENF com alguns parâmetros, sendo </w:t>
      </w:r>
      <w:r w:rsidRPr="00D35AD7">
        <w:rPr>
          <w:rFonts w:ascii="Arial" w:hAnsi="Arial" w:cs="Arial"/>
          <w:i/>
          <w:color w:val="000000"/>
        </w:rPr>
        <w:t xml:space="preserve">a </w:t>
      </w:r>
      <w:r w:rsidRPr="00D35AD7">
        <w:rPr>
          <w:rFonts w:ascii="Arial" w:hAnsi="Arial" w:cs="Arial"/>
          <w:color w:val="000000"/>
        </w:rPr>
        <w:t xml:space="preserve">o tamanho da trinca inicial, </w:t>
      </w:r>
      <w:r w:rsidRPr="00D35AD7">
        <w:rPr>
          <w:rFonts w:ascii="Arial" w:hAnsi="Arial" w:cs="Arial"/>
          <w:i/>
          <w:color w:val="000000"/>
        </w:rPr>
        <w:t>b</w:t>
      </w:r>
      <w:r w:rsidRPr="00D35AD7">
        <w:rPr>
          <w:rFonts w:ascii="Arial" w:hAnsi="Arial" w:cs="Arial"/>
          <w:color w:val="000000"/>
        </w:rPr>
        <w:t xml:space="preserve"> a largura do corpo e prova e </w:t>
      </w:r>
      <w:r w:rsidRPr="00D35AD7">
        <w:rPr>
          <w:rFonts w:ascii="Arial" w:hAnsi="Arial" w:cs="Arial"/>
          <w:i/>
          <w:color w:val="000000"/>
        </w:rPr>
        <w:t>c</w:t>
      </w:r>
      <w:r w:rsidRPr="00D35AD7">
        <w:rPr>
          <w:rFonts w:ascii="Arial" w:hAnsi="Arial" w:cs="Arial"/>
          <w:color w:val="000000"/>
        </w:rPr>
        <w:t xml:space="preserve"> a espessura. </w:t>
      </w:r>
    </w:p>
    <w:p w:rsidR="00BF05B6" w:rsidRPr="00D35AD7" w:rsidRDefault="00BF05B6" w:rsidP="00BF05B6">
      <w:pPr>
        <w:pStyle w:val="NormalWeb"/>
        <w:shd w:val="clear" w:color="auto" w:fill="FFFFFF"/>
        <w:spacing w:before="0" w:beforeAutospacing="0" w:after="0" w:afterAutospacing="0"/>
        <w:jc w:val="both"/>
        <w:rPr>
          <w:rFonts w:ascii="Arial" w:hAnsi="Arial" w:cs="Arial"/>
          <w:color w:val="000000"/>
        </w:rPr>
      </w:pPr>
    </w:p>
    <w:p w:rsidR="00BF05B6" w:rsidRPr="00D35AD7" w:rsidRDefault="00BF05B6" w:rsidP="00BF05B6">
      <w:pPr>
        <w:pStyle w:val="NormalWeb"/>
        <w:shd w:val="clear" w:color="auto" w:fill="FFFFFF"/>
        <w:spacing w:before="0" w:beforeAutospacing="0" w:after="0" w:afterAutospacing="0"/>
        <w:jc w:val="center"/>
        <w:rPr>
          <w:rFonts w:ascii="Arial" w:hAnsi="Arial" w:cs="Arial"/>
          <w:color w:val="000000"/>
        </w:rPr>
      </w:pPr>
      <w:r w:rsidRPr="00D35AD7">
        <w:rPr>
          <w:rFonts w:ascii="Arial" w:hAnsi="Arial" w:cs="Arial"/>
          <w:noProof/>
          <w:color w:val="000000"/>
        </w:rPr>
        <w:drawing>
          <wp:inline distT="0" distB="0" distL="0" distR="0" wp14:anchorId="2C16B391" wp14:editId="7DF3918C">
            <wp:extent cx="2296633" cy="1193276"/>
            <wp:effectExtent l="0" t="0" r="8890" b="698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t="10146"/>
                    <a:stretch/>
                  </pic:blipFill>
                  <pic:spPr bwMode="auto">
                    <a:xfrm>
                      <a:off x="0" y="0"/>
                      <a:ext cx="2308830" cy="1199613"/>
                    </a:xfrm>
                    <a:prstGeom prst="rect">
                      <a:avLst/>
                    </a:prstGeom>
                    <a:noFill/>
                    <a:ln>
                      <a:noFill/>
                    </a:ln>
                    <a:extLst>
                      <a:ext uri="{53640926-AAD7-44D8-BBD7-CCE9431645EC}">
                        <a14:shadowObscured xmlns:a14="http://schemas.microsoft.com/office/drawing/2010/main"/>
                      </a:ext>
                    </a:extLst>
                  </pic:spPr>
                </pic:pic>
              </a:graphicData>
            </a:graphic>
          </wp:inline>
        </w:drawing>
      </w:r>
    </w:p>
    <w:p w:rsidR="00BF05B6" w:rsidRPr="00D35AD7" w:rsidRDefault="00BF05B6" w:rsidP="00BF05B6">
      <w:pPr>
        <w:pStyle w:val="Legenda"/>
        <w:spacing w:after="0"/>
        <w:rPr>
          <w:rFonts w:cs="Arial"/>
          <w:szCs w:val="24"/>
        </w:rPr>
      </w:pPr>
      <w:bookmarkStart w:id="4" w:name="_Ref364291278"/>
      <w:bookmarkStart w:id="5" w:name="_Toc380766916"/>
      <w:r w:rsidRPr="00D35AD7">
        <w:rPr>
          <w:rFonts w:cs="Arial"/>
          <w:b/>
          <w:szCs w:val="24"/>
        </w:rPr>
        <w:t xml:space="preserve">Figura </w:t>
      </w:r>
      <w:bookmarkEnd w:id="4"/>
      <w:r>
        <w:rPr>
          <w:rFonts w:cs="Arial"/>
          <w:b/>
          <w:szCs w:val="24"/>
        </w:rPr>
        <w:t>2</w:t>
      </w:r>
      <w:r w:rsidRPr="00D35AD7">
        <w:rPr>
          <w:rFonts w:cs="Arial"/>
          <w:b/>
          <w:szCs w:val="24"/>
        </w:rPr>
        <w:t>.</w:t>
      </w:r>
      <w:r w:rsidRPr="00D35AD7">
        <w:rPr>
          <w:rFonts w:cs="Arial"/>
          <w:szCs w:val="24"/>
        </w:rPr>
        <w:t xml:space="preserve"> Representação do ensaio de delaminação [8]</w:t>
      </w:r>
      <w:bookmarkEnd w:id="5"/>
      <w:r>
        <w:rPr>
          <w:rFonts w:cs="Arial"/>
          <w:szCs w:val="24"/>
        </w:rPr>
        <w:t>.</w:t>
      </w:r>
    </w:p>
    <w:p w:rsidR="00BF05B6" w:rsidRDefault="00BF05B6" w:rsidP="00BF05B6">
      <w:pPr>
        <w:autoSpaceDE w:val="0"/>
        <w:autoSpaceDN w:val="0"/>
        <w:adjustRightInd w:val="0"/>
        <w:spacing w:before="120"/>
        <w:jc w:val="both"/>
      </w:pPr>
      <w:r w:rsidRPr="00D35AD7">
        <w:t xml:space="preserve">Para </w:t>
      </w:r>
      <w:r w:rsidRPr="00A30F45">
        <w:t xml:space="preserve">cálculos do </w:t>
      </w:r>
      <w:r w:rsidRPr="00A30F45">
        <w:rPr>
          <w:i/>
        </w:rPr>
        <w:t>G</w:t>
      </w:r>
      <w:r w:rsidRPr="00A30F45">
        <w:rPr>
          <w:i/>
          <w:vertAlign w:val="subscript"/>
        </w:rPr>
        <w:t>IIC</w:t>
      </w:r>
      <w:r w:rsidRPr="00A30F45">
        <w:t xml:space="preserve"> é utilizada a teoria clássica de vigas (</w:t>
      </w:r>
      <w:proofErr w:type="spellStart"/>
      <w:r w:rsidRPr="00A30F45">
        <w:rPr>
          <w:i/>
        </w:rPr>
        <w:t>classic</w:t>
      </w:r>
      <w:proofErr w:type="spellEnd"/>
      <w:r w:rsidRPr="00A30F45">
        <w:rPr>
          <w:i/>
        </w:rPr>
        <w:t xml:space="preserve"> </w:t>
      </w:r>
      <w:proofErr w:type="spellStart"/>
      <w:r w:rsidRPr="00A30F45">
        <w:rPr>
          <w:i/>
        </w:rPr>
        <w:t>beam</w:t>
      </w:r>
      <w:proofErr w:type="spellEnd"/>
      <w:r w:rsidRPr="00A30F45">
        <w:rPr>
          <w:i/>
        </w:rPr>
        <w:t xml:space="preserve"> </w:t>
      </w:r>
      <w:proofErr w:type="spellStart"/>
      <w:r w:rsidRPr="00A30F45">
        <w:rPr>
          <w:i/>
        </w:rPr>
        <w:t>theory</w:t>
      </w:r>
      <w:proofErr w:type="spellEnd"/>
      <w:r w:rsidRPr="00A30F45">
        <w:t xml:space="preserve">), representada pela Equação </w:t>
      </w:r>
      <w:proofErr w:type="gramStart"/>
      <w:r w:rsidRPr="00A30F45">
        <w:t>3</w:t>
      </w:r>
      <w:proofErr w:type="gramEnd"/>
      <w:r w:rsidRPr="00A30F45">
        <w:t xml:space="preserve"> [8, 5</w:t>
      </w:r>
      <w:r>
        <w:t>].</w:t>
      </w:r>
    </w:p>
    <w:p w:rsidR="00BF05B6" w:rsidRPr="00D35AD7" w:rsidRDefault="00BF05B6" w:rsidP="00BF05B6">
      <w:pPr>
        <w:autoSpaceDE w:val="0"/>
        <w:autoSpaceDN w:val="0"/>
        <w:adjustRightInd w:val="0"/>
        <w:spacing w:before="120"/>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023"/>
      </w:tblGrid>
      <w:tr w:rsidR="00BF05B6" w:rsidRPr="00D35AD7" w:rsidTr="008E6131">
        <w:tc>
          <w:tcPr>
            <w:tcW w:w="8188" w:type="dxa"/>
          </w:tcPr>
          <w:p w:rsidR="00BF05B6" w:rsidRPr="00E5520F" w:rsidRDefault="00BF05B6" w:rsidP="008E6131">
            <w:pPr>
              <w:pStyle w:val="NormalWeb"/>
              <w:spacing w:before="0" w:beforeAutospacing="0" w:after="0" w:afterAutospacing="0"/>
              <w:jc w:val="both"/>
              <w:rPr>
                <w:rFonts w:ascii="Arial" w:hAnsi="Arial" w:cs="Arial"/>
              </w:rPr>
            </w:pPr>
            <m:oMathPara>
              <m:oMathParaPr>
                <m:jc m:val="center"/>
              </m:oMathParaPr>
              <m:oMath>
                <m:sSub>
                  <m:sSubPr>
                    <m:ctrlPr>
                      <w:rPr>
                        <w:rFonts w:ascii="Cambria Math" w:hAnsi="Cambria Math" w:cs="Arial"/>
                        <w:i/>
                      </w:rPr>
                    </m:ctrlPr>
                  </m:sSubPr>
                  <m:e>
                    <m:r>
                      <w:rPr>
                        <w:rFonts w:ascii="Cambria Math" w:hAnsi="Cambria Math" w:cs="Arial"/>
                      </w:rPr>
                      <m:t>G</m:t>
                    </m:r>
                  </m:e>
                  <m:sub>
                    <m:r>
                      <w:rPr>
                        <w:rFonts w:ascii="Cambria Math" w:hAnsi="Cambria Math" w:cs="Arial"/>
                      </w:rPr>
                      <m:t>IIC</m:t>
                    </m:r>
                  </m:sub>
                </m:sSub>
                <m:r>
                  <w:rPr>
                    <w:rFonts w:ascii="Cambria Math" w:hAnsi="Cambria Math" w:cs="Arial"/>
                  </w:rPr>
                  <m:t>=</m:t>
                </m:r>
                <m:f>
                  <m:fPr>
                    <m:ctrlPr>
                      <w:rPr>
                        <w:rFonts w:ascii="Cambria Math" w:hAnsi="Cambria Math" w:cs="Arial"/>
                        <w:i/>
                      </w:rPr>
                    </m:ctrlPr>
                  </m:fPr>
                  <m:num>
                    <m:r>
                      <w:rPr>
                        <w:rFonts w:ascii="Cambria Math" w:hAnsi="Cambria Math" w:cs="Arial"/>
                      </w:rPr>
                      <m:t>9</m:t>
                    </m:r>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a</m:t>
                        </m:r>
                      </m:e>
                      <m:sup>
                        <m:r>
                          <w:rPr>
                            <w:rFonts w:ascii="Cambria Math" w:hAnsi="Cambria Math" w:cs="Arial"/>
                          </w:rPr>
                          <m:t>2</m:t>
                        </m:r>
                      </m:sup>
                    </m:sSup>
                  </m:num>
                  <m:den>
                    <m:r>
                      <w:rPr>
                        <w:rFonts w:ascii="Cambria Math" w:hAnsi="Cambria Math" w:cs="Arial"/>
                      </w:rPr>
                      <m:t>16E</m:t>
                    </m:r>
                    <m:sSup>
                      <m:sSupPr>
                        <m:ctrlPr>
                          <w:rPr>
                            <w:rFonts w:ascii="Cambria Math" w:hAnsi="Cambria Math" w:cs="Arial"/>
                            <w:i/>
                          </w:rPr>
                        </m:ctrlPr>
                      </m:sSupPr>
                      <m:e>
                        <m:r>
                          <w:rPr>
                            <w:rFonts w:ascii="Cambria Math" w:hAnsi="Cambria Math" w:cs="Arial"/>
                          </w:rPr>
                          <m:t>b</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h</m:t>
                        </m:r>
                      </m:e>
                      <m:sup>
                        <m:r>
                          <w:rPr>
                            <w:rFonts w:ascii="Cambria Math" w:hAnsi="Cambria Math" w:cs="Arial"/>
                          </w:rPr>
                          <m:t>3</m:t>
                        </m:r>
                      </m:sup>
                    </m:sSup>
                  </m:den>
                </m:f>
              </m:oMath>
            </m:oMathPara>
          </w:p>
        </w:tc>
        <w:tc>
          <w:tcPr>
            <w:tcW w:w="1023" w:type="dxa"/>
          </w:tcPr>
          <w:p w:rsidR="00BF05B6" w:rsidRDefault="00BF05B6" w:rsidP="008E6131">
            <w:pPr>
              <w:pStyle w:val="NormalWeb"/>
              <w:spacing w:before="0" w:beforeAutospacing="0" w:after="0" w:afterAutospacing="0"/>
              <w:jc w:val="right"/>
              <w:rPr>
                <w:rFonts w:ascii="Arial" w:hAnsi="Arial" w:cs="Arial"/>
              </w:rPr>
            </w:pPr>
            <w:r w:rsidRPr="00D35AD7">
              <w:rPr>
                <w:rFonts w:ascii="Arial" w:hAnsi="Arial" w:cs="Arial"/>
              </w:rPr>
              <w:t>(</w:t>
            </w:r>
            <w:r>
              <w:rPr>
                <w:rFonts w:ascii="Arial" w:hAnsi="Arial" w:cs="Arial"/>
              </w:rPr>
              <w:t>3</w:t>
            </w:r>
            <w:r w:rsidRPr="00D35AD7">
              <w:rPr>
                <w:rFonts w:ascii="Arial" w:hAnsi="Arial" w:cs="Arial"/>
              </w:rPr>
              <w:t>)</w:t>
            </w:r>
          </w:p>
          <w:p w:rsidR="00BF05B6" w:rsidRDefault="00BF05B6" w:rsidP="008E6131">
            <w:pPr>
              <w:pStyle w:val="NormalWeb"/>
              <w:spacing w:before="0" w:beforeAutospacing="0" w:after="0" w:afterAutospacing="0"/>
              <w:jc w:val="right"/>
              <w:rPr>
                <w:rFonts w:ascii="Arial" w:hAnsi="Arial" w:cs="Arial"/>
              </w:rPr>
            </w:pPr>
          </w:p>
          <w:p w:rsidR="00BF05B6" w:rsidRPr="00D35AD7" w:rsidRDefault="00BF05B6" w:rsidP="008E6131">
            <w:pPr>
              <w:pStyle w:val="NormalWeb"/>
              <w:spacing w:before="0" w:beforeAutospacing="0" w:after="0" w:afterAutospacing="0"/>
              <w:jc w:val="right"/>
              <w:rPr>
                <w:rFonts w:ascii="Arial" w:hAnsi="Arial" w:cs="Arial"/>
              </w:rPr>
            </w:pPr>
          </w:p>
        </w:tc>
      </w:tr>
    </w:tbl>
    <w:p w:rsidR="00BF05B6" w:rsidRDefault="00BF05B6" w:rsidP="00BF05B6">
      <w:pPr>
        <w:pStyle w:val="NormalWeb"/>
        <w:shd w:val="clear" w:color="auto" w:fill="FFFFFF"/>
        <w:spacing w:before="0" w:beforeAutospacing="0" w:after="0" w:afterAutospacing="0"/>
        <w:jc w:val="both"/>
        <w:rPr>
          <w:rFonts w:ascii="Arial" w:hAnsi="Arial" w:cs="Arial"/>
        </w:rPr>
      </w:pPr>
      <w:proofErr w:type="gramStart"/>
      <w:r>
        <w:rPr>
          <w:rFonts w:ascii="Arial" w:hAnsi="Arial" w:cs="Arial"/>
        </w:rPr>
        <w:t>e</w:t>
      </w:r>
      <w:r w:rsidRPr="00D35AD7">
        <w:rPr>
          <w:rFonts w:ascii="Arial" w:hAnsi="Arial" w:cs="Arial"/>
        </w:rPr>
        <w:t>m</w:t>
      </w:r>
      <w:proofErr w:type="gramEnd"/>
      <w:r w:rsidRPr="00D35AD7">
        <w:rPr>
          <w:rFonts w:ascii="Arial" w:hAnsi="Arial" w:cs="Arial"/>
        </w:rPr>
        <w:t xml:space="preserve"> que </w:t>
      </w:r>
      <w:r w:rsidRPr="00D35AD7">
        <w:rPr>
          <w:rFonts w:ascii="Arial" w:hAnsi="Arial" w:cs="Arial"/>
          <w:i/>
        </w:rPr>
        <w:t>E</w:t>
      </w:r>
      <w:r w:rsidRPr="00D35AD7">
        <w:rPr>
          <w:rFonts w:ascii="Arial" w:hAnsi="Arial" w:cs="Arial"/>
        </w:rPr>
        <w:t xml:space="preserve"> é o módulo de flexão e</w:t>
      </w:r>
      <w:r w:rsidRPr="00D35AD7">
        <w:rPr>
          <w:rFonts w:ascii="Arial" w:hAnsi="Arial" w:cs="Arial"/>
          <w:i/>
        </w:rPr>
        <w:t xml:space="preserve"> h</w:t>
      </w:r>
      <w:r w:rsidRPr="00D35AD7">
        <w:rPr>
          <w:rFonts w:ascii="Arial" w:hAnsi="Arial" w:cs="Arial"/>
        </w:rPr>
        <w:t xml:space="preserve"> é a meia alt</w:t>
      </w:r>
      <w:r>
        <w:rPr>
          <w:rFonts w:ascii="Arial" w:hAnsi="Arial" w:cs="Arial"/>
        </w:rPr>
        <w:t xml:space="preserve">ura do compósito. A </w:t>
      </w:r>
      <w:r w:rsidRPr="00A30F45">
        <w:rPr>
          <w:rFonts w:ascii="Arial" w:hAnsi="Arial" w:cs="Arial"/>
        </w:rPr>
        <w:t xml:space="preserve">Equação </w:t>
      </w:r>
      <w:proofErr w:type="gramStart"/>
      <w:r w:rsidRPr="00A30F45">
        <w:rPr>
          <w:rFonts w:ascii="Arial" w:hAnsi="Arial" w:cs="Arial"/>
        </w:rPr>
        <w:t>4</w:t>
      </w:r>
      <w:proofErr w:type="gramEnd"/>
      <w:r w:rsidRPr="00A30F45">
        <w:rPr>
          <w:rFonts w:ascii="Arial" w:hAnsi="Arial" w:cs="Arial"/>
        </w:rPr>
        <w:t xml:space="preserve"> representa o cálculo da compliância, sendo que </w:t>
      </w:r>
      <w:r w:rsidRPr="00A30F45">
        <w:rPr>
          <w:rFonts w:ascii="Arial" w:hAnsi="Arial" w:cs="Arial"/>
          <w:i/>
        </w:rPr>
        <w:t>L</w:t>
      </w:r>
      <w:r w:rsidRPr="00A30F45">
        <w:rPr>
          <w:rFonts w:ascii="Arial" w:hAnsi="Arial" w:cs="Arial"/>
        </w:rPr>
        <w:t xml:space="preserve"> é a metade do comprimento do </w:t>
      </w:r>
      <w:proofErr w:type="spellStart"/>
      <w:r w:rsidRPr="00A30F45">
        <w:rPr>
          <w:rFonts w:ascii="Arial" w:hAnsi="Arial" w:cs="Arial"/>
          <w:i/>
        </w:rPr>
        <w:t>span</w:t>
      </w:r>
      <w:proofErr w:type="spellEnd"/>
      <w:r w:rsidRPr="00A30F45">
        <w:rPr>
          <w:rFonts w:ascii="Arial" w:hAnsi="Arial" w:cs="Arial"/>
        </w:rPr>
        <w:t xml:space="preserve"> [5].</w:t>
      </w:r>
    </w:p>
    <w:p w:rsidR="00BF05B6" w:rsidRPr="00D35AD7" w:rsidRDefault="00BF05B6" w:rsidP="00BF05B6">
      <w:pPr>
        <w:pStyle w:val="NormalWeb"/>
        <w:shd w:val="clear" w:color="auto" w:fill="FFFFFF"/>
        <w:spacing w:before="0" w:beforeAutospacing="0" w:after="0" w:afterAutospacing="0"/>
        <w:jc w:val="both"/>
        <w:rPr>
          <w:rFonts w:ascii="Arial" w:hAnsi="Arial" w:cs="Arial"/>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023"/>
      </w:tblGrid>
      <w:tr w:rsidR="00BF05B6" w:rsidRPr="00D35AD7" w:rsidTr="008E6131">
        <w:tc>
          <w:tcPr>
            <w:tcW w:w="8188" w:type="dxa"/>
          </w:tcPr>
          <w:p w:rsidR="00BF05B6" w:rsidRPr="00E5520F" w:rsidRDefault="00BF05B6" w:rsidP="008E6131">
            <w:pPr>
              <w:pStyle w:val="NormalWeb"/>
              <w:spacing w:before="0" w:beforeAutospacing="0" w:after="0" w:afterAutospacing="0"/>
              <w:jc w:val="both"/>
              <w:rPr>
                <w:rFonts w:ascii="Arial" w:hAnsi="Arial" w:cs="Arial"/>
              </w:rPr>
            </w:pPr>
            <m:oMathPara>
              <m:oMathParaPr>
                <m:jc m:val="center"/>
              </m:oMathParaPr>
              <m:oMath>
                <m:r>
                  <w:rPr>
                    <w:rFonts w:ascii="Cambria Math" w:hAnsi="Cambria Math" w:cs="Arial"/>
                  </w:rPr>
                  <m:t>C=</m:t>
                </m:r>
                <m:f>
                  <m:fPr>
                    <m:ctrlPr>
                      <w:rPr>
                        <w:rFonts w:ascii="Cambria Math" w:hAnsi="Cambria Math" w:cs="Arial"/>
                        <w:i/>
                      </w:rPr>
                    </m:ctrlPr>
                  </m:fPr>
                  <m:num>
                    <m:r>
                      <w:rPr>
                        <w:rFonts w:ascii="Cambria Math" w:hAnsi="Cambria Math" w:cs="Arial"/>
                      </w:rPr>
                      <m:t>2</m:t>
                    </m:r>
                    <m:sSup>
                      <m:sSupPr>
                        <m:ctrlPr>
                          <w:rPr>
                            <w:rFonts w:ascii="Cambria Math" w:hAnsi="Cambria Math" w:cs="Arial"/>
                            <w:i/>
                          </w:rPr>
                        </m:ctrlPr>
                      </m:sSupPr>
                      <m:e>
                        <m:r>
                          <w:rPr>
                            <w:rFonts w:ascii="Cambria Math" w:hAnsi="Cambria Math" w:cs="Arial"/>
                          </w:rPr>
                          <m:t>L</m:t>
                        </m:r>
                      </m:e>
                      <m:sup>
                        <m:r>
                          <w:rPr>
                            <w:rFonts w:ascii="Cambria Math" w:hAnsi="Cambria Math" w:cs="Arial"/>
                          </w:rPr>
                          <m:t>3</m:t>
                        </m:r>
                      </m:sup>
                    </m:sSup>
                    <m:r>
                      <w:rPr>
                        <w:rFonts w:ascii="Cambria Math" w:hAnsi="Cambria Math" w:cs="Arial"/>
                      </w:rPr>
                      <m:t>+3</m:t>
                    </m:r>
                    <m:sSup>
                      <m:sSupPr>
                        <m:ctrlPr>
                          <w:rPr>
                            <w:rFonts w:ascii="Cambria Math" w:hAnsi="Cambria Math" w:cs="Arial"/>
                            <w:i/>
                          </w:rPr>
                        </m:ctrlPr>
                      </m:sSupPr>
                      <m:e>
                        <m:r>
                          <w:rPr>
                            <w:rFonts w:ascii="Cambria Math" w:hAnsi="Cambria Math" w:cs="Arial"/>
                          </w:rPr>
                          <m:t>a</m:t>
                        </m:r>
                      </m:e>
                      <m:sup>
                        <m:r>
                          <w:rPr>
                            <w:rFonts w:ascii="Cambria Math" w:hAnsi="Cambria Math" w:cs="Arial"/>
                          </w:rPr>
                          <m:t>3</m:t>
                        </m:r>
                      </m:sup>
                    </m:sSup>
                  </m:num>
                  <m:den>
                    <m:r>
                      <w:rPr>
                        <w:rFonts w:ascii="Cambria Math" w:hAnsi="Cambria Math" w:cs="Arial"/>
                      </w:rPr>
                      <m:t>8Eb</m:t>
                    </m:r>
                    <m:sSup>
                      <m:sSupPr>
                        <m:ctrlPr>
                          <w:rPr>
                            <w:rFonts w:ascii="Cambria Math" w:hAnsi="Cambria Math" w:cs="Arial"/>
                            <w:i/>
                          </w:rPr>
                        </m:ctrlPr>
                      </m:sSupPr>
                      <m:e>
                        <m:r>
                          <w:rPr>
                            <w:rFonts w:ascii="Cambria Math" w:hAnsi="Cambria Math" w:cs="Arial"/>
                          </w:rPr>
                          <m:t>h</m:t>
                        </m:r>
                      </m:e>
                      <m:sup>
                        <m:r>
                          <w:rPr>
                            <w:rFonts w:ascii="Cambria Math" w:hAnsi="Cambria Math" w:cs="Arial"/>
                          </w:rPr>
                          <m:t>3</m:t>
                        </m:r>
                      </m:sup>
                    </m:sSup>
                  </m:den>
                </m:f>
              </m:oMath>
            </m:oMathPara>
          </w:p>
        </w:tc>
        <w:tc>
          <w:tcPr>
            <w:tcW w:w="1023" w:type="dxa"/>
          </w:tcPr>
          <w:p w:rsidR="00BF05B6" w:rsidRPr="00D35AD7" w:rsidRDefault="00BF05B6" w:rsidP="008E6131">
            <w:pPr>
              <w:pStyle w:val="NormalWeb"/>
              <w:spacing w:before="0" w:beforeAutospacing="0" w:after="0" w:afterAutospacing="0"/>
              <w:jc w:val="right"/>
              <w:rPr>
                <w:rFonts w:ascii="Arial" w:hAnsi="Arial" w:cs="Arial"/>
              </w:rPr>
            </w:pPr>
            <w:r w:rsidRPr="00D35AD7">
              <w:rPr>
                <w:rFonts w:ascii="Arial" w:hAnsi="Arial" w:cs="Arial"/>
              </w:rPr>
              <w:t>(</w:t>
            </w:r>
            <w:r>
              <w:rPr>
                <w:rFonts w:ascii="Arial" w:hAnsi="Arial" w:cs="Arial"/>
              </w:rPr>
              <w:t>4</w:t>
            </w:r>
            <w:r w:rsidRPr="00D35AD7">
              <w:rPr>
                <w:rFonts w:ascii="Arial" w:hAnsi="Arial" w:cs="Arial"/>
              </w:rPr>
              <w:t>)</w:t>
            </w:r>
          </w:p>
        </w:tc>
      </w:tr>
      <w:tr w:rsidR="00BF05B6" w:rsidRPr="00D35AD7" w:rsidTr="008E6131">
        <w:tc>
          <w:tcPr>
            <w:tcW w:w="8188" w:type="dxa"/>
          </w:tcPr>
          <w:p w:rsidR="00BF05B6" w:rsidRDefault="00BF05B6" w:rsidP="008E6131">
            <w:pPr>
              <w:pStyle w:val="NormalWeb"/>
              <w:spacing w:before="0" w:beforeAutospacing="0" w:after="0" w:afterAutospacing="0"/>
              <w:jc w:val="both"/>
              <w:rPr>
                <w:rFonts w:ascii="Arial" w:hAnsi="Arial" w:cs="Arial"/>
              </w:rPr>
            </w:pPr>
          </w:p>
        </w:tc>
        <w:tc>
          <w:tcPr>
            <w:tcW w:w="1023" w:type="dxa"/>
          </w:tcPr>
          <w:p w:rsidR="00BF05B6" w:rsidRPr="00D35AD7" w:rsidRDefault="00BF05B6" w:rsidP="008E6131">
            <w:pPr>
              <w:pStyle w:val="NormalWeb"/>
              <w:spacing w:before="0" w:beforeAutospacing="0" w:after="0" w:afterAutospacing="0"/>
              <w:jc w:val="right"/>
              <w:rPr>
                <w:rFonts w:ascii="Arial" w:hAnsi="Arial" w:cs="Arial"/>
              </w:rPr>
            </w:pPr>
          </w:p>
        </w:tc>
      </w:tr>
    </w:tbl>
    <w:p w:rsidR="00BF05B6" w:rsidRDefault="00BF05B6" w:rsidP="00BF05B6">
      <w:pPr>
        <w:pStyle w:val="NormalWeb"/>
        <w:shd w:val="clear" w:color="auto" w:fill="FFFFFF"/>
        <w:spacing w:before="0" w:beforeAutospacing="0" w:after="0" w:afterAutospacing="0"/>
        <w:jc w:val="both"/>
        <w:rPr>
          <w:rFonts w:ascii="Arial" w:hAnsi="Arial" w:cs="Arial"/>
        </w:rPr>
      </w:pPr>
      <w:r w:rsidRPr="00A30F45">
        <w:rPr>
          <w:rFonts w:ascii="Arial" w:hAnsi="Arial" w:cs="Arial"/>
        </w:rPr>
        <w:t xml:space="preserve">Sela </w:t>
      </w:r>
      <w:proofErr w:type="gramStart"/>
      <w:r w:rsidRPr="00A30F45">
        <w:rPr>
          <w:rFonts w:ascii="Arial" w:hAnsi="Arial" w:cs="Arial"/>
        </w:rPr>
        <w:t>et</w:t>
      </w:r>
      <w:proofErr w:type="gramEnd"/>
      <w:r w:rsidRPr="00A30F45">
        <w:rPr>
          <w:rFonts w:ascii="Arial" w:hAnsi="Arial" w:cs="Arial"/>
        </w:rPr>
        <w:t xml:space="preserve"> al [9] realizou uma pesquisa sobre um compósito de fibra de carbono com matriz epóxi, o valor obtido no ensaio ENF foi de 518 J/m</w:t>
      </w:r>
      <w:r w:rsidRPr="00A30F45">
        <w:rPr>
          <w:rFonts w:ascii="Arial" w:hAnsi="Arial" w:cs="Arial"/>
          <w:vertAlign w:val="superscript"/>
        </w:rPr>
        <w:t>2</w:t>
      </w:r>
      <w:r w:rsidRPr="00A30F45">
        <w:rPr>
          <w:rFonts w:ascii="Arial" w:hAnsi="Arial" w:cs="Arial"/>
        </w:rPr>
        <w:t xml:space="preserve"> com aproximadamente 50% de fibra de carbono. Salerno [5] obteve um valor de 837±235 J/m</w:t>
      </w:r>
      <w:r w:rsidRPr="00A30F45">
        <w:rPr>
          <w:rFonts w:ascii="Arial" w:hAnsi="Arial" w:cs="Arial"/>
          <w:vertAlign w:val="superscript"/>
        </w:rPr>
        <w:t>2</w:t>
      </w:r>
      <w:r w:rsidRPr="00A30F45">
        <w:rPr>
          <w:rFonts w:ascii="Arial" w:hAnsi="Arial" w:cs="Arial"/>
        </w:rPr>
        <w:t xml:space="preserve"> no compósito unidirecional 0°/90, que é um valor alto, pois </w:t>
      </w:r>
      <w:r>
        <w:rPr>
          <w:rFonts w:ascii="Arial" w:hAnsi="Arial" w:cs="Arial"/>
        </w:rPr>
        <w:t>compósitos unidirecionais não sofrem ação de cisalhamento devido ao entrelaçamento das fibras por causa da configuração em tecido.</w:t>
      </w:r>
      <w:r w:rsidRPr="00D35AD7">
        <w:rPr>
          <w:rFonts w:ascii="Arial" w:hAnsi="Arial" w:cs="Arial"/>
        </w:rPr>
        <w:t xml:space="preserve"> </w:t>
      </w:r>
    </w:p>
    <w:p w:rsidR="00BF05B6" w:rsidRPr="00155FB6" w:rsidRDefault="00BF05B6" w:rsidP="00BF05B6">
      <w:pPr>
        <w:pStyle w:val="PargrafodaLista"/>
        <w:numPr>
          <w:ilvl w:val="0"/>
          <w:numId w:val="4"/>
        </w:numPr>
        <w:suppressAutoHyphens/>
        <w:spacing w:before="120" w:after="120"/>
        <w:ind w:left="374" w:hanging="374"/>
        <w:jc w:val="both"/>
        <w:rPr>
          <w:b/>
        </w:rPr>
      </w:pPr>
      <w:r w:rsidRPr="00155FB6">
        <w:rPr>
          <w:b/>
        </w:rPr>
        <w:t>MATERIAIS E MÉTODOS</w:t>
      </w:r>
    </w:p>
    <w:p w:rsidR="00BF05B6" w:rsidRDefault="00BF05B6" w:rsidP="00BF05B6">
      <w:pPr>
        <w:pStyle w:val="NormalWeb"/>
        <w:shd w:val="clear" w:color="auto" w:fill="FFFFFF"/>
        <w:spacing w:before="0" w:beforeAutospacing="0" w:after="0" w:afterAutospacing="0"/>
        <w:jc w:val="both"/>
        <w:outlineLvl w:val="1"/>
        <w:rPr>
          <w:rFonts w:ascii="Arial" w:hAnsi="Arial" w:cs="Arial"/>
        </w:rPr>
      </w:pPr>
      <w:r w:rsidRPr="00094B6B">
        <w:rPr>
          <w:rFonts w:ascii="Arial" w:hAnsi="Arial" w:cs="Arial"/>
        </w:rPr>
        <w:t xml:space="preserve">Para a preparação dos corpos de provas, o tecido de fibra de carbono foi silanizado, com o </w:t>
      </w:r>
      <w:r w:rsidRPr="00A30F45">
        <w:rPr>
          <w:rFonts w:ascii="Arial" w:hAnsi="Arial" w:cs="Arial"/>
        </w:rPr>
        <w:t xml:space="preserve">intuito de melhorar a aderência entre a fibra e a matriz. Subsequentemente, os compósitos foram montados com 10 lâminas 0º/90º introduzindo um inserto de plástico bag (Figura 3b) na quinta com a sexta lâmina. A cura da resina foi feita a vácuo por uma hora a 120°C na estufa Fanem (Figura 3a). </w:t>
      </w:r>
      <w:r w:rsidRPr="00094B6B">
        <w:rPr>
          <w:rFonts w:ascii="Arial" w:hAnsi="Arial" w:cs="Arial"/>
        </w:rPr>
        <w:t xml:space="preserve">O corte a jato d’água </w:t>
      </w:r>
      <w:r>
        <w:rPr>
          <w:rFonts w:ascii="Arial" w:hAnsi="Arial" w:cs="Arial"/>
        </w:rPr>
        <w:t>promoveu a</w:t>
      </w:r>
      <w:r w:rsidRPr="00094B6B">
        <w:rPr>
          <w:rFonts w:ascii="Arial" w:hAnsi="Arial" w:cs="Arial"/>
        </w:rPr>
        <w:t xml:space="preserve"> precisão das dimensões e integridade na lateral do compósito.</w:t>
      </w:r>
    </w:p>
    <w:p w:rsidR="00BF05B6" w:rsidRPr="00094B6B" w:rsidRDefault="00BF05B6" w:rsidP="00BF05B6">
      <w:pPr>
        <w:pStyle w:val="NormalWeb"/>
        <w:shd w:val="clear" w:color="auto" w:fill="FFFFFF"/>
        <w:spacing w:before="0" w:beforeAutospacing="0" w:after="0" w:afterAutospacing="0"/>
        <w:jc w:val="both"/>
        <w:outlineLvl w:val="1"/>
        <w:rPr>
          <w:rFonts w:ascii="Arial" w:hAnsi="Arial" w:cs="Arial"/>
        </w:rPr>
      </w:pPr>
      <w:r w:rsidRPr="00094B6B">
        <w:rPr>
          <w:rFonts w:ascii="Arial" w:hAnsi="Arial" w:cs="Arial"/>
          <w:noProof/>
        </w:rPr>
        <w:lastRenderedPageBreak/>
        <w:drawing>
          <wp:inline distT="0" distB="0" distL="0" distR="0" wp14:anchorId="3B32BB88" wp14:editId="24512DD8">
            <wp:extent cx="5759450" cy="1614805"/>
            <wp:effectExtent l="0" t="0" r="0" b="444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1614805"/>
                    </a:xfrm>
                    <a:prstGeom prst="rect">
                      <a:avLst/>
                    </a:prstGeom>
                    <a:noFill/>
                    <a:ln>
                      <a:noFill/>
                    </a:ln>
                  </pic:spPr>
                </pic:pic>
              </a:graphicData>
            </a:graphic>
          </wp:inline>
        </w:drawing>
      </w:r>
    </w:p>
    <w:p w:rsidR="00BF05B6" w:rsidRPr="006A0593" w:rsidRDefault="00BF05B6" w:rsidP="00BF05B6">
      <w:pPr>
        <w:jc w:val="center"/>
        <w:rPr>
          <w:sz w:val="20"/>
          <w:szCs w:val="20"/>
        </w:rPr>
      </w:pPr>
      <w:r>
        <w:rPr>
          <w:b/>
          <w:sz w:val="20"/>
          <w:szCs w:val="20"/>
        </w:rPr>
        <w:t>Figura 3</w:t>
      </w:r>
      <w:r w:rsidRPr="00E1656E">
        <w:rPr>
          <w:b/>
          <w:sz w:val="20"/>
          <w:szCs w:val="20"/>
        </w:rPr>
        <w:t>.</w:t>
      </w:r>
      <w:r w:rsidRPr="00E1656E">
        <w:rPr>
          <w:sz w:val="20"/>
          <w:szCs w:val="20"/>
        </w:rPr>
        <w:t xml:space="preserve"> (a) material compósito na estufa. (b</w:t>
      </w:r>
      <w:r>
        <w:rPr>
          <w:sz w:val="20"/>
          <w:szCs w:val="20"/>
        </w:rPr>
        <w:t>) placa de compósito para corte.</w:t>
      </w:r>
    </w:p>
    <w:tbl>
      <w:tblPr>
        <w:tblStyle w:val="Tabelacomgrade"/>
        <w:tblW w:w="9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1"/>
        <w:gridCol w:w="598"/>
      </w:tblGrid>
      <w:tr w:rsidR="00BF05B6" w:rsidRPr="00D23AAB" w:rsidTr="008E6131">
        <w:tc>
          <w:tcPr>
            <w:tcW w:w="9211" w:type="dxa"/>
          </w:tcPr>
          <w:p w:rsidR="00BF05B6" w:rsidRPr="00E30FAB" w:rsidRDefault="00BF05B6" w:rsidP="008E6131">
            <w:pPr>
              <w:pStyle w:val="NormalWeb"/>
              <w:shd w:val="clear" w:color="auto" w:fill="FFFFFF"/>
              <w:spacing w:before="120" w:beforeAutospacing="0" w:after="0" w:afterAutospacing="0"/>
              <w:jc w:val="both"/>
              <w:rPr>
                <w:rFonts w:ascii="Arial" w:hAnsi="Arial" w:cs="Arial"/>
                <w:color w:val="000000"/>
              </w:rPr>
            </w:pPr>
            <w:r w:rsidRPr="00D23AAB">
              <w:rPr>
                <w:rFonts w:ascii="Arial" w:hAnsi="Arial" w:cs="Arial"/>
                <w:color w:val="000000"/>
              </w:rPr>
              <w:t xml:space="preserve">Para o cálculo da densidade do compósito, foi cortado </w:t>
            </w:r>
            <w:proofErr w:type="gramStart"/>
            <w:r w:rsidRPr="00D23AAB">
              <w:rPr>
                <w:rFonts w:ascii="Arial" w:hAnsi="Arial" w:cs="Arial"/>
                <w:color w:val="000000"/>
              </w:rPr>
              <w:t>1</w:t>
            </w:r>
            <w:proofErr w:type="gramEnd"/>
            <w:r w:rsidRPr="00D23AAB">
              <w:rPr>
                <w:rFonts w:ascii="Arial" w:hAnsi="Arial" w:cs="Arial"/>
                <w:color w:val="000000"/>
              </w:rPr>
              <w:t xml:space="preserve"> cm</w:t>
            </w:r>
            <w:r w:rsidRPr="00D23AAB">
              <w:rPr>
                <w:rFonts w:ascii="Arial" w:hAnsi="Arial" w:cs="Arial"/>
                <w:color w:val="000000"/>
                <w:vertAlign w:val="superscript"/>
              </w:rPr>
              <w:t>2</w:t>
            </w:r>
            <w:r w:rsidRPr="00D23AAB">
              <w:rPr>
                <w:rFonts w:ascii="Arial" w:hAnsi="Arial" w:cs="Arial"/>
                <w:color w:val="000000"/>
              </w:rPr>
              <w:t xml:space="preserve"> do compósito, medida sua espessura e massa.</w:t>
            </w:r>
            <w:r>
              <w:rPr>
                <w:rFonts w:ascii="Arial" w:hAnsi="Arial" w:cs="Arial"/>
                <w:color w:val="000000"/>
              </w:rPr>
              <w:t xml:space="preserve"> </w:t>
            </w:r>
            <w:r w:rsidRPr="00E1656E">
              <w:rPr>
                <w:rFonts w:ascii="Arial" w:hAnsi="Arial" w:cs="Arial"/>
                <w:color w:val="000000"/>
              </w:rPr>
              <w:t xml:space="preserve">Para </w:t>
            </w:r>
            <w:r>
              <w:rPr>
                <w:rFonts w:ascii="Arial" w:hAnsi="Arial" w:cs="Arial"/>
                <w:color w:val="000000"/>
              </w:rPr>
              <w:t xml:space="preserve">determinar </w:t>
            </w:r>
            <w:r w:rsidRPr="00E1656E">
              <w:rPr>
                <w:rFonts w:ascii="Arial" w:hAnsi="Arial" w:cs="Arial"/>
                <w:color w:val="000000"/>
              </w:rPr>
              <w:t>a porcentagem de fibra de carbono (</w:t>
            </w:r>
            <w:r w:rsidRPr="00D23AAB">
              <w:rPr>
                <w:rFonts w:ascii="Arial" w:hAnsi="Arial" w:cs="Arial"/>
                <w:color w:val="000000"/>
              </w:rPr>
              <w:t>%F.C.</w:t>
            </w:r>
            <w:r w:rsidRPr="00E1656E">
              <w:rPr>
                <w:rFonts w:ascii="Arial" w:hAnsi="Arial" w:cs="Arial"/>
                <w:color w:val="000000"/>
              </w:rPr>
              <w:t xml:space="preserve">), </w:t>
            </w:r>
            <w:r>
              <w:rPr>
                <w:rFonts w:ascii="Arial" w:hAnsi="Arial" w:cs="Arial"/>
                <w:color w:val="000000"/>
              </w:rPr>
              <w:t>foi utilizada a massa anterior em recipiente cerâmico; após 1 hora a 500°C, a resina evaporou e permaneceram somente as fibras.</w:t>
            </w:r>
          </w:p>
        </w:tc>
        <w:tc>
          <w:tcPr>
            <w:tcW w:w="598" w:type="dxa"/>
          </w:tcPr>
          <w:p w:rsidR="00BF05B6" w:rsidRPr="00E1656E" w:rsidRDefault="00BF05B6" w:rsidP="008E6131">
            <w:pPr>
              <w:pStyle w:val="NormalWeb"/>
              <w:shd w:val="clear" w:color="auto" w:fill="FFFFFF"/>
              <w:spacing w:before="120" w:beforeAutospacing="0" w:after="0" w:afterAutospacing="0"/>
              <w:jc w:val="both"/>
              <w:rPr>
                <w:rFonts w:ascii="Arial" w:hAnsi="Arial" w:cs="Arial"/>
                <w:color w:val="000000"/>
              </w:rPr>
            </w:pPr>
          </w:p>
        </w:tc>
      </w:tr>
    </w:tbl>
    <w:p w:rsidR="00BF05B6" w:rsidRPr="00E1656E" w:rsidRDefault="00BF05B6" w:rsidP="00BF05B6">
      <w:pPr>
        <w:pStyle w:val="NormalWeb"/>
        <w:numPr>
          <w:ilvl w:val="1"/>
          <w:numId w:val="3"/>
        </w:numPr>
        <w:shd w:val="clear" w:color="auto" w:fill="FFFFFF"/>
        <w:spacing w:before="120" w:beforeAutospacing="0" w:after="0" w:afterAutospacing="0"/>
        <w:ind w:left="1077"/>
        <w:jc w:val="both"/>
        <w:outlineLvl w:val="1"/>
        <w:rPr>
          <w:rFonts w:ascii="Arial" w:hAnsi="Arial" w:cs="Arial"/>
          <w:b/>
          <w:color w:val="000000"/>
        </w:rPr>
      </w:pPr>
      <w:bookmarkStart w:id="6" w:name="_Toc380767033"/>
      <w:r w:rsidRPr="00E1656E">
        <w:rPr>
          <w:rFonts w:ascii="Arial" w:hAnsi="Arial" w:cs="Arial"/>
          <w:b/>
          <w:color w:val="000000"/>
        </w:rPr>
        <w:t>DCB (</w:t>
      </w:r>
      <w:r w:rsidRPr="00E1656E">
        <w:rPr>
          <w:rFonts w:ascii="Arial" w:hAnsi="Arial" w:cs="Arial"/>
          <w:b/>
          <w:i/>
          <w:color w:val="000000"/>
        </w:rPr>
        <w:t>Double-</w:t>
      </w:r>
      <w:proofErr w:type="spellStart"/>
      <w:r w:rsidRPr="00E1656E">
        <w:rPr>
          <w:rFonts w:ascii="Arial" w:hAnsi="Arial" w:cs="Arial"/>
          <w:b/>
          <w:i/>
          <w:color w:val="000000"/>
        </w:rPr>
        <w:t>cantilever</w:t>
      </w:r>
      <w:proofErr w:type="spellEnd"/>
      <w:r w:rsidRPr="00E1656E">
        <w:rPr>
          <w:rFonts w:ascii="Arial" w:hAnsi="Arial" w:cs="Arial"/>
          <w:b/>
          <w:i/>
          <w:color w:val="000000"/>
        </w:rPr>
        <w:t xml:space="preserve"> </w:t>
      </w:r>
      <w:proofErr w:type="spellStart"/>
      <w:r w:rsidRPr="00E1656E">
        <w:rPr>
          <w:rFonts w:ascii="Arial" w:hAnsi="Arial" w:cs="Arial"/>
          <w:b/>
          <w:i/>
          <w:color w:val="000000"/>
        </w:rPr>
        <w:t>Beam</w:t>
      </w:r>
      <w:proofErr w:type="spellEnd"/>
      <w:r w:rsidRPr="00E1656E">
        <w:rPr>
          <w:rFonts w:ascii="Arial" w:hAnsi="Arial" w:cs="Arial"/>
          <w:b/>
          <w:color w:val="000000"/>
        </w:rPr>
        <w:t>)</w:t>
      </w:r>
      <w:bookmarkEnd w:id="6"/>
    </w:p>
    <w:p w:rsidR="00BF05B6" w:rsidRDefault="00BF05B6" w:rsidP="00BF05B6">
      <w:pPr>
        <w:spacing w:before="120"/>
        <w:jc w:val="both"/>
        <w:rPr>
          <w:color w:val="000000"/>
        </w:rPr>
      </w:pPr>
      <w:r w:rsidRPr="00E1656E">
        <w:rPr>
          <w:color w:val="000000"/>
        </w:rPr>
        <w:t xml:space="preserve">O </w:t>
      </w:r>
      <w:r w:rsidRPr="00E1656E">
        <w:t>corpo de prova</w:t>
      </w:r>
      <w:r w:rsidRPr="00E1656E">
        <w:rPr>
          <w:color w:val="FF0000"/>
        </w:rPr>
        <w:t xml:space="preserve"> </w:t>
      </w:r>
      <w:r w:rsidRPr="00E1656E">
        <w:rPr>
          <w:color w:val="000000"/>
        </w:rPr>
        <w:t xml:space="preserve">DCB consiste em uma amostra de espessura retangular e uniforme, de um compósito laminado contendo um inserto não adesivo no </w:t>
      </w:r>
      <w:r w:rsidRPr="00E1656E">
        <w:t xml:space="preserve">plano médio da espessura </w:t>
      </w:r>
      <w:r w:rsidRPr="00E1656E">
        <w:rPr>
          <w:color w:val="000000"/>
        </w:rPr>
        <w:t xml:space="preserve">que atua como uma trinca inicial (delaminação). Forças de abertura são aplicadas na amostra através dos blocos que estão </w:t>
      </w:r>
      <w:r w:rsidRPr="00E1656E">
        <w:t>colados na extremidade</w:t>
      </w:r>
      <w:r w:rsidRPr="00E1656E">
        <w:rPr>
          <w:color w:val="000000"/>
        </w:rPr>
        <w:t xml:space="preserve"> da </w:t>
      </w:r>
      <w:r w:rsidRPr="00A30F45">
        <w:t>amostra, Figura 4, causando a separação das camadas. As dimensões dos corpos de prova (Figura 4) foram obtidas pela a norma ASTM D5528 [7] sendo a espessura (h) e o comprimento da trinca inicial (a</w:t>
      </w:r>
      <w:r w:rsidRPr="00A30F45">
        <w:rPr>
          <w:vertAlign w:val="subscript"/>
        </w:rPr>
        <w:t>0</w:t>
      </w:r>
      <w:r w:rsidRPr="00A30F45">
        <w:t xml:space="preserve">) calculadas para valores de a ≤ </w:t>
      </w:r>
      <w:proofErr w:type="gramStart"/>
      <w:r w:rsidRPr="00A30F45">
        <w:t>63mm</w:t>
      </w:r>
      <w:proofErr w:type="gramEnd"/>
      <w:r w:rsidRPr="00A30F45">
        <w:t xml:space="preserve"> e h ≥ 3 mm (considerando G</w:t>
      </w:r>
      <w:r w:rsidRPr="00A30F45">
        <w:rPr>
          <w:vertAlign w:val="subscript"/>
        </w:rPr>
        <w:t>IC</w:t>
      </w:r>
      <w:r w:rsidRPr="00A30F45">
        <w:t xml:space="preserve"> e E</w:t>
      </w:r>
      <w:r w:rsidRPr="00A30F45">
        <w:rPr>
          <w:vertAlign w:val="subscript"/>
        </w:rPr>
        <w:t>11</w:t>
      </w:r>
      <w:r w:rsidRPr="00A30F45">
        <w:t>, respectivamente, 239 J/m</w:t>
      </w:r>
      <w:r w:rsidRPr="00A30F45">
        <w:rPr>
          <w:vertAlign w:val="superscript"/>
        </w:rPr>
        <w:t>2</w:t>
      </w:r>
      <w:r w:rsidRPr="00A30F45">
        <w:t xml:space="preserve"> e 20 </w:t>
      </w:r>
      <w:proofErr w:type="spellStart"/>
      <w:r w:rsidRPr="00A30F45">
        <w:t>GPa</w:t>
      </w:r>
      <w:proofErr w:type="spellEnd"/>
      <w:r w:rsidRPr="00A30F45">
        <w:t xml:space="preserve"> [5,10]). Foram utilizados oito corpos de prova. Foram feitas marcas a cada </w:t>
      </w:r>
      <w:proofErr w:type="gramStart"/>
      <w:r w:rsidRPr="00A30F45">
        <w:t>1</w:t>
      </w:r>
      <w:proofErr w:type="gramEnd"/>
      <w:r w:rsidRPr="00A30F45">
        <w:t xml:space="preserve"> mm, a fim de medir o deslocamento da trinca. Os blocos foram fixados na amostra (com uma cola epóxi de cura a frio) e na máquina de forma a deixar a amostra alinhada e centralizada. A </w:t>
      </w:r>
      <w:r w:rsidRPr="00A30F45">
        <w:fldChar w:fldCharType="begin"/>
      </w:r>
      <w:r w:rsidRPr="00A30F45">
        <w:instrText xml:space="preserve"> REF _Ref364298127 \h  \* MERGEFORMAT </w:instrText>
      </w:r>
      <w:r w:rsidRPr="00A30F45">
        <w:fldChar w:fldCharType="separate"/>
      </w:r>
      <w:r w:rsidRPr="00A30F45">
        <w:t xml:space="preserve">Figura </w:t>
      </w:r>
      <w:r w:rsidRPr="00A30F45">
        <w:fldChar w:fldCharType="end"/>
      </w:r>
      <w:proofErr w:type="gramStart"/>
      <w:r w:rsidRPr="00A30F45">
        <w:t>5</w:t>
      </w:r>
      <w:proofErr w:type="gramEnd"/>
      <w:r w:rsidRPr="00A30F45">
        <w:t xml:space="preserve"> mostra um corpo de </w:t>
      </w:r>
      <w:r w:rsidRPr="00E1656E">
        <w:rPr>
          <w:color w:val="000000"/>
        </w:rPr>
        <w:t>prova pronto para ensaio</w:t>
      </w:r>
      <w:r>
        <w:rPr>
          <w:color w:val="000000"/>
        </w:rPr>
        <w:t>.</w:t>
      </w:r>
    </w:p>
    <w:p w:rsidR="00BF05B6" w:rsidRPr="00E1656E" w:rsidRDefault="00BF05B6" w:rsidP="00BF05B6">
      <w:pPr>
        <w:pStyle w:val="NormalWeb"/>
        <w:shd w:val="clear" w:color="auto" w:fill="FFFFFF"/>
        <w:spacing w:before="120" w:beforeAutospacing="0" w:after="0" w:afterAutospacing="0"/>
        <w:jc w:val="center"/>
        <w:rPr>
          <w:rFonts w:ascii="Arial" w:hAnsi="Arial" w:cs="Arial"/>
          <w:color w:val="000000"/>
          <w:sz w:val="20"/>
          <w:szCs w:val="20"/>
        </w:rPr>
      </w:pPr>
      <w:r>
        <w:rPr>
          <w:rFonts w:ascii="Arial" w:hAnsi="Arial" w:cs="Arial"/>
          <w:noProof/>
          <w:color w:val="000000"/>
        </w:rPr>
        <w:drawing>
          <wp:inline distT="0" distB="0" distL="0" distR="0" wp14:anchorId="5251CAB5" wp14:editId="26DA7080">
            <wp:extent cx="5263116" cy="1758202"/>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4330" t="3774" r="1219"/>
                    <a:stretch/>
                  </pic:blipFill>
                  <pic:spPr bwMode="auto">
                    <a:xfrm>
                      <a:off x="0" y="0"/>
                      <a:ext cx="5260392" cy="1757292"/>
                    </a:xfrm>
                    <a:prstGeom prst="rect">
                      <a:avLst/>
                    </a:prstGeom>
                    <a:noFill/>
                    <a:ln>
                      <a:noFill/>
                    </a:ln>
                    <a:extLst>
                      <a:ext uri="{53640926-AAD7-44D8-BBD7-CCE9431645EC}">
                        <a14:shadowObscured xmlns:a14="http://schemas.microsoft.com/office/drawing/2010/main"/>
                      </a:ext>
                    </a:extLst>
                  </pic:spPr>
                </pic:pic>
              </a:graphicData>
            </a:graphic>
          </wp:inline>
        </w:drawing>
      </w:r>
    </w:p>
    <w:p w:rsidR="00BF05B6" w:rsidRPr="00E1656E" w:rsidRDefault="00BF05B6" w:rsidP="00BF05B6">
      <w:pPr>
        <w:pStyle w:val="Legenda"/>
        <w:spacing w:after="0"/>
        <w:rPr>
          <w:rFonts w:cs="Arial"/>
        </w:rPr>
      </w:pPr>
      <w:bookmarkStart w:id="7" w:name="_Ref364279304"/>
      <w:bookmarkStart w:id="8" w:name="_Toc380766923"/>
      <w:r w:rsidRPr="00E1656E">
        <w:rPr>
          <w:rFonts w:cs="Arial"/>
          <w:b/>
        </w:rPr>
        <w:t xml:space="preserve">Figura </w:t>
      </w:r>
      <w:bookmarkEnd w:id="7"/>
      <w:r>
        <w:rPr>
          <w:rFonts w:cs="Arial"/>
          <w:b/>
        </w:rPr>
        <w:t>4.</w:t>
      </w:r>
      <w:r w:rsidRPr="00E1656E">
        <w:rPr>
          <w:rFonts w:cs="Arial"/>
        </w:rPr>
        <w:t xml:space="preserve"> Desenho esquemático do bloco </w:t>
      </w:r>
      <w:r>
        <w:rPr>
          <w:rFonts w:cs="Arial"/>
        </w:rPr>
        <w:t xml:space="preserve">e do corpo de prova </w:t>
      </w:r>
      <w:r w:rsidRPr="00E1656E">
        <w:rPr>
          <w:rFonts w:cs="Arial"/>
        </w:rPr>
        <w:t>usado</w:t>
      </w:r>
      <w:r>
        <w:rPr>
          <w:rFonts w:cs="Arial"/>
        </w:rPr>
        <w:t>s</w:t>
      </w:r>
      <w:r w:rsidRPr="00E1656E">
        <w:rPr>
          <w:rFonts w:cs="Arial"/>
        </w:rPr>
        <w:t xml:space="preserve"> para o ensaio e DCB</w:t>
      </w:r>
      <w:r>
        <w:rPr>
          <w:rFonts w:cs="Arial"/>
        </w:rPr>
        <w:t>, bem como suas dimensões</w:t>
      </w:r>
      <w:bookmarkEnd w:id="8"/>
      <w:r>
        <w:rPr>
          <w:rFonts w:cs="Arial"/>
        </w:rPr>
        <w:t>.</w:t>
      </w:r>
    </w:p>
    <w:p w:rsidR="00BF05B6" w:rsidRDefault="00BF05B6" w:rsidP="00BF05B6">
      <w:pPr>
        <w:pStyle w:val="NormalWeb"/>
        <w:shd w:val="clear" w:color="auto" w:fill="FFFFFF"/>
        <w:spacing w:before="0" w:beforeAutospacing="0" w:after="0" w:afterAutospacing="0"/>
        <w:ind w:firstLine="708"/>
        <w:jc w:val="both"/>
        <w:rPr>
          <w:rFonts w:ascii="Arial" w:hAnsi="Arial" w:cs="Arial"/>
        </w:rPr>
      </w:pPr>
    </w:p>
    <w:p w:rsidR="00BF05B6" w:rsidRPr="00E1656E" w:rsidRDefault="00BF05B6" w:rsidP="00BF05B6">
      <w:pPr>
        <w:pStyle w:val="NormalWeb"/>
        <w:shd w:val="clear" w:color="auto" w:fill="FFFFFF"/>
        <w:spacing w:before="0" w:beforeAutospacing="0" w:after="0" w:afterAutospacing="0"/>
        <w:ind w:firstLine="708"/>
        <w:jc w:val="both"/>
        <w:rPr>
          <w:rFonts w:ascii="Arial" w:hAnsi="Arial" w:cs="Arial"/>
        </w:rPr>
      </w:pPr>
      <w:r w:rsidRPr="00E1656E">
        <w:rPr>
          <w:rFonts w:ascii="Arial" w:hAnsi="Arial" w:cs="Arial"/>
          <w:color w:val="000000"/>
        </w:rPr>
        <w:t xml:space="preserve">Para esse trabalho </w:t>
      </w:r>
      <w:r>
        <w:rPr>
          <w:rFonts w:ascii="Arial" w:hAnsi="Arial" w:cs="Arial"/>
          <w:color w:val="000000"/>
        </w:rPr>
        <w:t>foi utilizada um</w:t>
      </w:r>
      <w:r w:rsidRPr="00E1656E">
        <w:rPr>
          <w:rFonts w:ascii="Arial" w:hAnsi="Arial" w:cs="Arial"/>
          <w:color w:val="000000"/>
        </w:rPr>
        <w:t xml:space="preserve">a velocidade </w:t>
      </w:r>
      <w:r>
        <w:rPr>
          <w:rFonts w:ascii="Arial" w:hAnsi="Arial" w:cs="Arial"/>
          <w:color w:val="000000"/>
        </w:rPr>
        <w:t>constante</w:t>
      </w:r>
      <w:r w:rsidRPr="00E1656E">
        <w:rPr>
          <w:rFonts w:ascii="Arial" w:hAnsi="Arial" w:cs="Arial"/>
          <w:color w:val="000000"/>
        </w:rPr>
        <w:t xml:space="preserve"> de </w:t>
      </w:r>
      <w:proofErr w:type="gramStart"/>
      <w:r w:rsidRPr="00E1656E">
        <w:rPr>
          <w:rFonts w:ascii="Arial" w:hAnsi="Arial" w:cs="Arial"/>
          <w:color w:val="000000"/>
        </w:rPr>
        <w:t>2</w:t>
      </w:r>
      <w:proofErr w:type="gramEnd"/>
      <w:r w:rsidRPr="00E1656E">
        <w:rPr>
          <w:rFonts w:ascii="Arial" w:hAnsi="Arial" w:cs="Arial"/>
          <w:color w:val="000000"/>
        </w:rPr>
        <w:t xml:space="preserve"> mm/min com o objetivo de garantir que a delaminação ocorra sem a ruptura do compósito, </w:t>
      </w:r>
      <w:r w:rsidRPr="00E1656E">
        <w:rPr>
          <w:rFonts w:ascii="Arial" w:hAnsi="Arial" w:cs="Arial"/>
        </w:rPr>
        <w:t xml:space="preserve">na máquina universal de ensaios MTS com capacidade de 250 </w:t>
      </w:r>
      <w:proofErr w:type="spellStart"/>
      <w:r w:rsidRPr="00E1656E">
        <w:rPr>
          <w:rFonts w:ascii="Arial" w:hAnsi="Arial" w:cs="Arial"/>
        </w:rPr>
        <w:t>kN</w:t>
      </w:r>
      <w:proofErr w:type="spellEnd"/>
      <w:r w:rsidRPr="00E1656E">
        <w:rPr>
          <w:rFonts w:ascii="Arial" w:hAnsi="Arial" w:cs="Arial"/>
        </w:rPr>
        <w:t>. Para o cálculo do G</w:t>
      </w:r>
      <w:r w:rsidRPr="00E1656E">
        <w:rPr>
          <w:rFonts w:ascii="Arial" w:hAnsi="Arial" w:cs="Arial"/>
          <w:vertAlign w:val="subscript"/>
        </w:rPr>
        <w:t>IC</w:t>
      </w:r>
      <w:r w:rsidRPr="00E1656E">
        <w:rPr>
          <w:rFonts w:ascii="Arial" w:hAnsi="Arial" w:cs="Arial"/>
        </w:rPr>
        <w:t xml:space="preserve">, deve-se utilizar o ponto de instabilidade do </w:t>
      </w:r>
      <w:proofErr w:type="gramStart"/>
      <w:r w:rsidRPr="00E1656E">
        <w:rPr>
          <w:rFonts w:ascii="Arial" w:hAnsi="Arial" w:cs="Arial"/>
        </w:rPr>
        <w:t>gráfico Força x</w:t>
      </w:r>
      <w:proofErr w:type="gramEnd"/>
      <w:r w:rsidRPr="00E1656E">
        <w:rPr>
          <w:rFonts w:ascii="Arial" w:hAnsi="Arial" w:cs="Arial"/>
        </w:rPr>
        <w:t xml:space="preserve"> deslocamento, ou seja, o ponto onde se perde a linearidade dessa relação. Para </w:t>
      </w:r>
      <w:r>
        <w:rPr>
          <w:rFonts w:ascii="Arial" w:hAnsi="Arial" w:cs="Arial"/>
        </w:rPr>
        <w:t>determinar</w:t>
      </w:r>
      <w:r w:rsidRPr="00E1656E">
        <w:rPr>
          <w:rFonts w:ascii="Arial" w:hAnsi="Arial" w:cs="Arial"/>
        </w:rPr>
        <w:t xml:space="preserve"> as constantes </w:t>
      </w:r>
      <w:r w:rsidRPr="00E1656E">
        <w:rPr>
          <w:rFonts w:ascii="Arial" w:hAnsi="Arial" w:cs="Arial"/>
          <w:i/>
        </w:rPr>
        <w:t>n</w:t>
      </w:r>
      <w:r w:rsidRPr="00E1656E">
        <w:rPr>
          <w:rFonts w:ascii="Arial" w:hAnsi="Arial" w:cs="Arial"/>
        </w:rPr>
        <w:t xml:space="preserve"> e </w:t>
      </w:r>
      <w:r w:rsidRPr="00E1656E">
        <w:rPr>
          <w:rFonts w:ascii="Arial" w:hAnsi="Arial" w:cs="Arial"/>
          <w:i/>
        </w:rPr>
        <w:t>k</w:t>
      </w:r>
      <w:r w:rsidRPr="00E1656E">
        <w:rPr>
          <w:rFonts w:ascii="Arial" w:hAnsi="Arial" w:cs="Arial"/>
        </w:rPr>
        <w:t>, foi feito o gráfico do log da compliân</w:t>
      </w:r>
      <w:r>
        <w:rPr>
          <w:rFonts w:ascii="Arial" w:hAnsi="Arial" w:cs="Arial"/>
        </w:rPr>
        <w:t>cia (E</w:t>
      </w:r>
      <w:r w:rsidRPr="00E1656E">
        <w:rPr>
          <w:rFonts w:ascii="Arial" w:hAnsi="Arial" w:cs="Arial"/>
        </w:rPr>
        <w:t xml:space="preserve">quação </w:t>
      </w:r>
      <w:proofErr w:type="gramStart"/>
      <w:r>
        <w:rPr>
          <w:rFonts w:ascii="Arial" w:hAnsi="Arial" w:cs="Arial"/>
        </w:rPr>
        <w:t>2</w:t>
      </w:r>
      <w:proofErr w:type="gramEnd"/>
      <w:r w:rsidRPr="00E1656E">
        <w:rPr>
          <w:rFonts w:ascii="Arial" w:hAnsi="Arial" w:cs="Arial"/>
        </w:rPr>
        <w:t xml:space="preserve">) pelo log do comprimento de trinca (imagens </w:t>
      </w:r>
      <w:r>
        <w:rPr>
          <w:rFonts w:ascii="Arial" w:hAnsi="Arial" w:cs="Arial"/>
        </w:rPr>
        <w:t>capturadas</w:t>
      </w:r>
      <w:r w:rsidRPr="00E1656E">
        <w:rPr>
          <w:rFonts w:ascii="Arial" w:hAnsi="Arial" w:cs="Arial"/>
        </w:rPr>
        <w:t xml:space="preserve"> durante o ensaio), sendo </w:t>
      </w:r>
      <w:r w:rsidRPr="00E1656E">
        <w:rPr>
          <w:rFonts w:ascii="Arial" w:hAnsi="Arial" w:cs="Arial"/>
          <w:i/>
        </w:rPr>
        <w:t>n</w:t>
      </w:r>
      <w:r w:rsidRPr="00E1656E">
        <w:rPr>
          <w:rFonts w:ascii="Arial" w:hAnsi="Arial" w:cs="Arial"/>
        </w:rPr>
        <w:t xml:space="preserve"> o coeficiente da reta e o </w:t>
      </w:r>
      <w:r w:rsidRPr="00E1656E">
        <w:rPr>
          <w:rFonts w:ascii="Arial" w:hAnsi="Arial" w:cs="Arial"/>
          <w:i/>
        </w:rPr>
        <w:t>k</w:t>
      </w:r>
      <w:r w:rsidRPr="00E1656E">
        <w:rPr>
          <w:rFonts w:ascii="Arial" w:hAnsi="Arial" w:cs="Arial"/>
        </w:rPr>
        <w:t xml:space="preserve"> a constate da equação de reta. Com os valores de força, </w:t>
      </w:r>
      <w:r w:rsidRPr="00E1656E">
        <w:rPr>
          <w:rFonts w:ascii="Arial" w:hAnsi="Arial" w:cs="Arial"/>
        </w:rPr>
        <w:lastRenderedPageBreak/>
        <w:t xml:space="preserve">deslocamento, abertura da trinca e os coeficientes </w:t>
      </w:r>
      <w:r w:rsidRPr="00E1656E">
        <w:rPr>
          <w:rFonts w:ascii="Arial" w:hAnsi="Arial" w:cs="Arial"/>
          <w:i/>
        </w:rPr>
        <w:t>n</w:t>
      </w:r>
      <w:r w:rsidRPr="00E1656E">
        <w:rPr>
          <w:rFonts w:ascii="Arial" w:hAnsi="Arial" w:cs="Arial"/>
        </w:rPr>
        <w:t xml:space="preserve"> e </w:t>
      </w:r>
      <w:r w:rsidRPr="00E1656E">
        <w:rPr>
          <w:rFonts w:ascii="Arial" w:hAnsi="Arial" w:cs="Arial"/>
          <w:i/>
        </w:rPr>
        <w:t>k</w:t>
      </w:r>
      <w:r w:rsidRPr="00E1656E">
        <w:rPr>
          <w:rFonts w:ascii="Arial" w:hAnsi="Arial" w:cs="Arial"/>
        </w:rPr>
        <w:t>, é possível fazer o cálculo do G</w:t>
      </w:r>
      <w:r w:rsidRPr="00E1656E">
        <w:rPr>
          <w:rFonts w:ascii="Arial" w:hAnsi="Arial" w:cs="Arial"/>
          <w:vertAlign w:val="subscript"/>
        </w:rPr>
        <w:t>IC</w:t>
      </w:r>
      <w:r w:rsidRPr="00E1656E">
        <w:rPr>
          <w:rFonts w:ascii="Arial" w:hAnsi="Arial" w:cs="Arial"/>
        </w:rPr>
        <w:t xml:space="preserve"> de acordo </w:t>
      </w:r>
      <w:r w:rsidRPr="00A30F45">
        <w:rPr>
          <w:rFonts w:ascii="Arial" w:hAnsi="Arial" w:cs="Arial"/>
        </w:rPr>
        <w:t xml:space="preserve">com Equação </w:t>
      </w:r>
      <w:proofErr w:type="gramStart"/>
      <w:r w:rsidRPr="00A30F45">
        <w:rPr>
          <w:rFonts w:ascii="Arial" w:hAnsi="Arial" w:cs="Arial"/>
        </w:rPr>
        <w:t>1</w:t>
      </w:r>
      <w:proofErr w:type="gramEnd"/>
      <w:r w:rsidRPr="00A30F45">
        <w:rPr>
          <w:rFonts w:ascii="Arial" w:hAnsi="Arial" w:cs="Arial"/>
        </w:rPr>
        <w:t>.</w:t>
      </w:r>
    </w:p>
    <w:p w:rsidR="00BF05B6" w:rsidRPr="00E1656E" w:rsidRDefault="00BF05B6" w:rsidP="00BF05B6">
      <w:pPr>
        <w:pStyle w:val="NormalWeb"/>
        <w:shd w:val="clear" w:color="auto" w:fill="FFFFFF"/>
        <w:spacing w:before="0" w:beforeAutospacing="0" w:after="0" w:afterAutospacing="0"/>
        <w:ind w:firstLine="708"/>
        <w:jc w:val="both"/>
        <w:rPr>
          <w:rFonts w:ascii="Arial" w:hAnsi="Arial" w:cs="Arial"/>
        </w:rPr>
      </w:pPr>
    </w:p>
    <w:p w:rsidR="00BF05B6" w:rsidRPr="00E1656E" w:rsidRDefault="00BF05B6" w:rsidP="00BF05B6">
      <w:pPr>
        <w:pStyle w:val="NormalWeb"/>
        <w:shd w:val="clear" w:color="auto" w:fill="FFFFFF"/>
        <w:spacing w:before="0" w:beforeAutospacing="0" w:after="0" w:afterAutospacing="0"/>
        <w:jc w:val="center"/>
        <w:rPr>
          <w:rFonts w:ascii="Arial" w:hAnsi="Arial" w:cs="Arial"/>
          <w:color w:val="FF0000"/>
        </w:rPr>
      </w:pPr>
      <w:r w:rsidRPr="00E1656E">
        <w:rPr>
          <w:rFonts w:ascii="Arial" w:hAnsi="Arial" w:cs="Arial"/>
          <w:noProof/>
          <w:color w:val="FF0000"/>
        </w:rPr>
        <w:drawing>
          <wp:inline distT="0" distB="0" distL="0" distR="0" wp14:anchorId="5E35EE5D" wp14:editId="56065A5F">
            <wp:extent cx="4191990" cy="1798814"/>
            <wp:effectExtent l="0" t="0" r="0" b="0"/>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6892" cy="1809500"/>
                    </a:xfrm>
                    <a:prstGeom prst="rect">
                      <a:avLst/>
                    </a:prstGeom>
                    <a:noFill/>
                    <a:ln>
                      <a:noFill/>
                    </a:ln>
                  </pic:spPr>
                </pic:pic>
              </a:graphicData>
            </a:graphic>
          </wp:inline>
        </w:drawing>
      </w:r>
    </w:p>
    <w:p w:rsidR="00BF05B6" w:rsidRDefault="00BF05B6" w:rsidP="00BF05B6">
      <w:pPr>
        <w:pStyle w:val="Legenda"/>
        <w:spacing w:after="0"/>
        <w:rPr>
          <w:rFonts w:cs="Arial"/>
        </w:rPr>
      </w:pPr>
      <w:bookmarkStart w:id="9" w:name="_Toc380766925"/>
      <w:r>
        <w:rPr>
          <w:rFonts w:cs="Arial"/>
          <w:b/>
        </w:rPr>
        <w:t>Figura 5</w:t>
      </w:r>
      <w:r w:rsidRPr="00E1656E">
        <w:rPr>
          <w:rFonts w:cs="Arial"/>
          <w:b/>
        </w:rPr>
        <w:t>.</w:t>
      </w:r>
      <w:r w:rsidRPr="00E1656E">
        <w:rPr>
          <w:rFonts w:cs="Arial"/>
        </w:rPr>
        <w:t xml:space="preserve"> Corpo de prova pronto para ensaio DCB</w:t>
      </w:r>
      <w:bookmarkEnd w:id="9"/>
      <w:r>
        <w:rPr>
          <w:rFonts w:cs="Arial"/>
        </w:rPr>
        <w:t>.</w:t>
      </w:r>
    </w:p>
    <w:p w:rsidR="00BF05B6" w:rsidRPr="00E1656E" w:rsidRDefault="00BF05B6" w:rsidP="00BF05B6">
      <w:pPr>
        <w:pStyle w:val="Subttulo"/>
        <w:numPr>
          <w:ilvl w:val="1"/>
          <w:numId w:val="3"/>
        </w:numPr>
        <w:spacing w:before="120" w:after="0" w:line="240" w:lineRule="auto"/>
        <w:ind w:left="1077"/>
        <w:outlineLvl w:val="1"/>
        <w:rPr>
          <w:rFonts w:ascii="Arial" w:hAnsi="Arial" w:cs="Arial"/>
          <w:b w:val="0"/>
          <w:i/>
        </w:rPr>
      </w:pPr>
      <w:bookmarkStart w:id="10" w:name="_Toc380767036"/>
      <w:r w:rsidRPr="00E1656E">
        <w:rPr>
          <w:rFonts w:ascii="Arial" w:hAnsi="Arial" w:cs="Arial"/>
        </w:rPr>
        <w:t>ENF (</w:t>
      </w:r>
      <w:proofErr w:type="spellStart"/>
      <w:r w:rsidRPr="00E1656E">
        <w:rPr>
          <w:rFonts w:ascii="Arial" w:hAnsi="Arial" w:cs="Arial"/>
        </w:rPr>
        <w:t>end</w:t>
      </w:r>
      <w:proofErr w:type="spellEnd"/>
      <w:r w:rsidRPr="00E1656E">
        <w:rPr>
          <w:rFonts w:ascii="Arial" w:hAnsi="Arial" w:cs="Arial"/>
        </w:rPr>
        <w:t xml:space="preserve"> </w:t>
      </w:r>
      <w:proofErr w:type="spellStart"/>
      <w:r w:rsidRPr="00E1656E">
        <w:rPr>
          <w:rFonts w:ascii="Arial" w:hAnsi="Arial" w:cs="Arial"/>
        </w:rPr>
        <w:t>notch</w:t>
      </w:r>
      <w:proofErr w:type="spellEnd"/>
      <w:r w:rsidRPr="00E1656E">
        <w:rPr>
          <w:rFonts w:ascii="Arial" w:hAnsi="Arial" w:cs="Arial"/>
        </w:rPr>
        <w:t xml:space="preserve"> </w:t>
      </w:r>
      <w:proofErr w:type="spellStart"/>
      <w:r w:rsidRPr="00E1656E">
        <w:rPr>
          <w:rFonts w:ascii="Arial" w:hAnsi="Arial" w:cs="Arial"/>
        </w:rPr>
        <w:t>flexure</w:t>
      </w:r>
      <w:proofErr w:type="spellEnd"/>
      <w:r w:rsidRPr="00E1656E">
        <w:rPr>
          <w:rFonts w:ascii="Arial" w:hAnsi="Arial" w:cs="Arial"/>
        </w:rPr>
        <w:t>)</w:t>
      </w:r>
      <w:bookmarkEnd w:id="10"/>
    </w:p>
    <w:p w:rsidR="00BF05B6" w:rsidRPr="00E1656E" w:rsidRDefault="00BF05B6" w:rsidP="00BF05B6">
      <w:pPr>
        <w:spacing w:before="120"/>
        <w:jc w:val="both"/>
      </w:pPr>
      <w:r>
        <w:t>A</w:t>
      </w:r>
      <w:r w:rsidRPr="00E1656E">
        <w:t xml:space="preserve"> </w:t>
      </w:r>
      <w:r w:rsidRPr="00A30F45">
        <w:t xml:space="preserve">norma ASTM D790-10 [11] determina as dimensões das amostras de acordo com a </w:t>
      </w:r>
      <w:r w:rsidRPr="00A30F45">
        <w:fldChar w:fldCharType="begin"/>
      </w:r>
      <w:r w:rsidRPr="00A30F45">
        <w:instrText xml:space="preserve"> REF _Ref364700659 \h  \* MERGEFORMAT </w:instrText>
      </w:r>
      <w:r w:rsidRPr="00A30F45">
        <w:fldChar w:fldCharType="separate"/>
      </w:r>
      <w:r w:rsidRPr="00A30F45">
        <w:t xml:space="preserve">Figura </w:t>
      </w:r>
      <w:r w:rsidRPr="00A30F45">
        <w:fldChar w:fldCharType="end"/>
      </w:r>
      <w:proofErr w:type="gramStart"/>
      <w:r w:rsidRPr="00A30F45">
        <w:t>6</w:t>
      </w:r>
      <w:proofErr w:type="gramEnd"/>
      <w:r w:rsidRPr="00A30F45">
        <w:t xml:space="preserve">. Para o cálculo da trinca inicial </w:t>
      </w:r>
      <w:r w:rsidRPr="00A30F45">
        <w:rPr>
          <w:i/>
        </w:rPr>
        <w:t>a</w:t>
      </w:r>
      <w:r w:rsidRPr="00A30F45">
        <w:t xml:space="preserve"> deve-se buscar a estabilidade do teste, sendo essa relação 0,37 &lt; (</w:t>
      </w:r>
      <w:r w:rsidRPr="00A30F45">
        <w:rPr>
          <w:i/>
        </w:rPr>
        <w:t>a/l</w:t>
      </w:r>
      <w:r w:rsidRPr="00A30F45">
        <w:t xml:space="preserve">) &lt; 1, onde </w:t>
      </w:r>
      <w:r w:rsidRPr="00A30F45">
        <w:rPr>
          <w:i/>
        </w:rPr>
        <w:t>a</w:t>
      </w:r>
      <w:r w:rsidRPr="00A30F45">
        <w:t xml:space="preserve"> e </w:t>
      </w:r>
      <w:r w:rsidRPr="00A30F45">
        <w:rPr>
          <w:i/>
        </w:rPr>
        <w:t xml:space="preserve">l </w:t>
      </w:r>
      <w:r w:rsidRPr="00A30F45">
        <w:t xml:space="preserve">são, respectivamente o comprimento da trinca e do </w:t>
      </w:r>
      <w:proofErr w:type="spellStart"/>
      <w:r w:rsidRPr="00A30F45">
        <w:rPr>
          <w:i/>
        </w:rPr>
        <w:t>span</w:t>
      </w:r>
      <w:proofErr w:type="spellEnd"/>
      <w:r w:rsidRPr="00A30F45">
        <w:t xml:space="preserve">. A relação entre </w:t>
      </w:r>
      <w:proofErr w:type="spellStart"/>
      <w:r w:rsidRPr="00A30F45">
        <w:rPr>
          <w:i/>
        </w:rPr>
        <w:t>span</w:t>
      </w:r>
      <w:proofErr w:type="spellEnd"/>
      <w:r w:rsidRPr="00A30F45">
        <w:t xml:space="preserve"> e espessura é de 32:1 no caso de compósitos reforçados de alta resistência [11]. Sendo a espessura 3,2 mm, o </w:t>
      </w:r>
      <w:proofErr w:type="spellStart"/>
      <w:r w:rsidRPr="00A30F45">
        <w:rPr>
          <w:i/>
        </w:rPr>
        <w:t>span</w:t>
      </w:r>
      <w:proofErr w:type="spellEnd"/>
      <w:r w:rsidRPr="00A30F45">
        <w:t xml:space="preserve"> foi de aproximadamente 102 </w:t>
      </w:r>
      <w:proofErr w:type="spellStart"/>
      <w:r w:rsidRPr="00A30F45">
        <w:t>mm.</w:t>
      </w:r>
      <w:proofErr w:type="spellEnd"/>
      <w:r w:rsidRPr="00A30F45">
        <w:t xml:space="preserve"> Dessa forma, 37,74 mm &lt; </w:t>
      </w:r>
      <w:r w:rsidRPr="00A30F45">
        <w:rPr>
          <w:i/>
        </w:rPr>
        <w:t>a</w:t>
      </w:r>
      <w:r w:rsidRPr="00A30F45">
        <w:t xml:space="preserve"> &lt; 102 </w:t>
      </w:r>
      <w:proofErr w:type="spellStart"/>
      <w:r w:rsidRPr="00A30F45">
        <w:t>mm.</w:t>
      </w:r>
      <w:proofErr w:type="spellEnd"/>
      <w:r w:rsidRPr="00A30F45">
        <w:t xml:space="preserve"> Para o ensaio, a trinca escolhida foi de 41 </w:t>
      </w:r>
      <w:proofErr w:type="spellStart"/>
      <w:r w:rsidRPr="00A30F45">
        <w:t>mm.</w:t>
      </w:r>
      <w:proofErr w:type="spellEnd"/>
      <w:r w:rsidRPr="00A30F45">
        <w:t xml:space="preserve"> Os pinos de apoio e de carga são de diâmetro igual a 15,8 </w:t>
      </w:r>
      <w:proofErr w:type="spellStart"/>
      <w:r w:rsidRPr="00A30F45">
        <w:t>mm.</w:t>
      </w:r>
      <w:proofErr w:type="spellEnd"/>
      <w:r w:rsidRPr="00A30F45">
        <w:t xml:space="preserve"> A velocidade utilizada no ensaio foi de </w:t>
      </w:r>
      <w:proofErr w:type="gramStart"/>
      <w:r w:rsidRPr="00A30F45">
        <w:t>2mm</w:t>
      </w:r>
      <w:proofErr w:type="gramEnd"/>
      <w:r w:rsidRPr="00A30F45">
        <w:t xml:space="preserve">/s. Foi utilizado o equipamento </w:t>
      </w:r>
      <w:proofErr w:type="spellStart"/>
      <w:r w:rsidRPr="00A30F45">
        <w:t>Instron</w:t>
      </w:r>
      <w:proofErr w:type="spellEnd"/>
      <w:r w:rsidRPr="00A30F45">
        <w:t xml:space="preserve"> de capacidade máxima de 30 </w:t>
      </w:r>
      <w:proofErr w:type="spellStart"/>
      <w:r w:rsidRPr="00A30F45">
        <w:t>kN</w:t>
      </w:r>
      <w:proofErr w:type="spellEnd"/>
      <w:r w:rsidRPr="00A30F45">
        <w:t xml:space="preserve">, conectado a um software para obter a curva carga </w:t>
      </w:r>
      <w:r w:rsidRPr="00A30F45">
        <w:rPr>
          <w:i/>
        </w:rPr>
        <w:t>x</w:t>
      </w:r>
      <w:r w:rsidRPr="00A30F45">
        <w:t xml:space="preserve"> deflexão, sendo a delaminação obtida por meio de fotos tiradas </w:t>
      </w:r>
      <w:proofErr w:type="spellStart"/>
      <w:r w:rsidRPr="00A30F45">
        <w:t>sincronizadamente</w:t>
      </w:r>
      <w:proofErr w:type="spellEnd"/>
      <w:r w:rsidRPr="00A30F45">
        <w:t xml:space="preserve"> ao ensaio. A Figura 7 mostra configuração do ensaio. Para o cálculo do G</w:t>
      </w:r>
      <w:r w:rsidRPr="00A30F45">
        <w:rPr>
          <w:vertAlign w:val="subscript"/>
        </w:rPr>
        <w:t>IIC</w:t>
      </w:r>
      <w:r w:rsidRPr="00A30F45">
        <w:t xml:space="preserve">, foi utilizada a Equação </w:t>
      </w:r>
      <w:proofErr w:type="gramStart"/>
      <w:r w:rsidRPr="00A30F45">
        <w:t>3</w:t>
      </w:r>
      <w:proofErr w:type="gramEnd"/>
      <w:r w:rsidRPr="00A30F45">
        <w:t xml:space="preserve"> sendo que a força e a abertura de trinca utilizadas devem ser as do ponto de instabilidade </w:t>
      </w:r>
      <w:r w:rsidRPr="00E1656E">
        <w:t>da trinca, ou seja, a perda da linearidade entre a força e o deslocamento.</w:t>
      </w:r>
    </w:p>
    <w:p w:rsidR="00BF05B6" w:rsidRPr="00E1656E" w:rsidRDefault="00BF05B6" w:rsidP="00BF05B6">
      <w:pPr>
        <w:ind w:firstLine="708"/>
        <w:jc w:val="both"/>
      </w:pPr>
    </w:p>
    <w:p w:rsidR="00BF05B6" w:rsidRPr="00E1656E" w:rsidRDefault="00BF05B6" w:rsidP="00BF05B6">
      <w:pPr>
        <w:jc w:val="center"/>
      </w:pPr>
      <w:r w:rsidRPr="00E1656E">
        <w:rPr>
          <w:noProof/>
        </w:rPr>
        <w:drawing>
          <wp:inline distT="0" distB="0" distL="0" distR="0" wp14:anchorId="45D9FD9E" wp14:editId="56E35F74">
            <wp:extent cx="5130141" cy="101379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1134" cy="1029798"/>
                    </a:xfrm>
                    <a:prstGeom prst="rect">
                      <a:avLst/>
                    </a:prstGeom>
                    <a:noFill/>
                    <a:ln>
                      <a:noFill/>
                    </a:ln>
                  </pic:spPr>
                </pic:pic>
              </a:graphicData>
            </a:graphic>
          </wp:inline>
        </w:drawing>
      </w:r>
    </w:p>
    <w:p w:rsidR="00BF05B6" w:rsidRPr="00E1656E" w:rsidRDefault="00BF05B6" w:rsidP="00BF05B6">
      <w:pPr>
        <w:pStyle w:val="Legenda"/>
        <w:spacing w:after="0"/>
        <w:rPr>
          <w:rFonts w:cs="Arial"/>
        </w:rPr>
      </w:pPr>
      <w:bookmarkStart w:id="11" w:name="_Toc380766926"/>
      <w:r>
        <w:rPr>
          <w:rFonts w:cs="Arial"/>
          <w:b/>
        </w:rPr>
        <w:t>Figura 6.</w:t>
      </w:r>
      <w:r w:rsidRPr="00E1656E">
        <w:rPr>
          <w:rFonts w:cs="Arial"/>
        </w:rPr>
        <w:t xml:space="preserve"> Dimensão da amostra ENF</w:t>
      </w:r>
      <w:bookmarkEnd w:id="11"/>
      <w:r>
        <w:rPr>
          <w:rFonts w:cs="Arial"/>
        </w:rPr>
        <w:t>.</w:t>
      </w:r>
    </w:p>
    <w:p w:rsidR="00BF05B6" w:rsidRPr="00E1656E" w:rsidRDefault="00BF05B6" w:rsidP="00BF05B6">
      <w:pPr>
        <w:jc w:val="both"/>
      </w:pPr>
    </w:p>
    <w:p w:rsidR="00BF05B6" w:rsidRPr="00E1656E" w:rsidRDefault="00BF05B6" w:rsidP="00BF05B6">
      <w:pPr>
        <w:jc w:val="center"/>
      </w:pPr>
      <w:r w:rsidRPr="00E1656E">
        <w:rPr>
          <w:noProof/>
        </w:rPr>
        <w:drawing>
          <wp:inline distT="0" distB="0" distL="0" distR="0" wp14:anchorId="2F998854" wp14:editId="300FBBCF">
            <wp:extent cx="2948026" cy="1668718"/>
            <wp:effectExtent l="0" t="0" r="508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6203"/>
                    <a:stretch/>
                  </pic:blipFill>
                  <pic:spPr bwMode="auto">
                    <a:xfrm>
                      <a:off x="0" y="0"/>
                      <a:ext cx="2971467" cy="1681987"/>
                    </a:xfrm>
                    <a:prstGeom prst="rect">
                      <a:avLst/>
                    </a:prstGeom>
                    <a:noFill/>
                    <a:ln>
                      <a:noFill/>
                    </a:ln>
                    <a:extLst>
                      <a:ext uri="{53640926-AAD7-44D8-BBD7-CCE9431645EC}">
                        <a14:shadowObscured xmlns:a14="http://schemas.microsoft.com/office/drawing/2010/main"/>
                      </a:ext>
                    </a:extLst>
                  </pic:spPr>
                </pic:pic>
              </a:graphicData>
            </a:graphic>
          </wp:inline>
        </w:drawing>
      </w:r>
    </w:p>
    <w:p w:rsidR="00BF05B6" w:rsidRDefault="00BF05B6" w:rsidP="00BF05B6">
      <w:pPr>
        <w:pStyle w:val="Legenda"/>
        <w:spacing w:after="0"/>
        <w:rPr>
          <w:rFonts w:cs="Arial"/>
        </w:rPr>
      </w:pPr>
      <w:bookmarkStart w:id="12" w:name="_Toc380766927"/>
      <w:r>
        <w:rPr>
          <w:rFonts w:cs="Arial"/>
          <w:b/>
        </w:rPr>
        <w:t>Figura 7.</w:t>
      </w:r>
      <w:r w:rsidRPr="00E1656E">
        <w:rPr>
          <w:rFonts w:cs="Arial"/>
        </w:rPr>
        <w:t xml:space="preserve"> Equipamento preparado para ensaio ENF</w:t>
      </w:r>
      <w:bookmarkEnd w:id="12"/>
      <w:r>
        <w:rPr>
          <w:rFonts w:cs="Arial"/>
        </w:rPr>
        <w:t>.</w:t>
      </w:r>
    </w:p>
    <w:p w:rsidR="00BF05B6" w:rsidRPr="00E1656E" w:rsidRDefault="00BF05B6" w:rsidP="00BF05B6">
      <w:pPr>
        <w:pStyle w:val="Subttulo"/>
        <w:numPr>
          <w:ilvl w:val="1"/>
          <w:numId w:val="3"/>
        </w:numPr>
        <w:spacing w:before="0" w:after="120" w:line="240" w:lineRule="auto"/>
        <w:ind w:left="1077"/>
        <w:outlineLvl w:val="1"/>
        <w:rPr>
          <w:rFonts w:ascii="Arial" w:hAnsi="Arial" w:cs="Arial"/>
        </w:rPr>
      </w:pPr>
      <w:bookmarkStart w:id="13" w:name="_Toc380767039"/>
      <w:r w:rsidRPr="00E1656E">
        <w:rPr>
          <w:rFonts w:ascii="Arial" w:hAnsi="Arial" w:cs="Arial"/>
        </w:rPr>
        <w:t>Ensaio de Tração</w:t>
      </w:r>
      <w:bookmarkEnd w:id="13"/>
    </w:p>
    <w:p w:rsidR="00BF05B6" w:rsidRDefault="00BF05B6" w:rsidP="00BF05B6">
      <w:pPr>
        <w:jc w:val="both"/>
      </w:pPr>
      <w:r w:rsidRPr="00E1656E">
        <w:lastRenderedPageBreak/>
        <w:t xml:space="preserve">Foi realizado ensaio de tração para obtenção </w:t>
      </w:r>
      <w:r>
        <w:t xml:space="preserve">do </w:t>
      </w:r>
      <w:r w:rsidRPr="00E1656E">
        <w:t>módulo elástico</w:t>
      </w:r>
      <w:r>
        <w:t xml:space="preserve"> (E)</w:t>
      </w:r>
      <w:r w:rsidRPr="00E1656E">
        <w:t>, coeficiente de Poisson</w:t>
      </w:r>
      <w:r>
        <w:t xml:space="preserve"> (</w:t>
      </w:r>
      <w:proofErr w:type="spellStart"/>
      <w:r>
        <w:rPr>
          <w:rFonts w:ascii="Times New Roman" w:hAnsi="Times New Roman" w:cs="Times New Roman"/>
        </w:rPr>
        <w:t>ν</w:t>
      </w:r>
      <w:r>
        <w:rPr>
          <w:vertAlign w:val="subscript"/>
        </w:rPr>
        <w:t>xy</w:t>
      </w:r>
      <w:proofErr w:type="spellEnd"/>
      <w:r>
        <w:t>)</w:t>
      </w:r>
      <w:r w:rsidRPr="00E1656E">
        <w:t>, módulo de rigidez</w:t>
      </w:r>
      <w:r>
        <w:t xml:space="preserve"> (</w:t>
      </w:r>
      <w:proofErr w:type="spellStart"/>
      <w:r>
        <w:t>G</w:t>
      </w:r>
      <w:r>
        <w:rPr>
          <w:vertAlign w:val="subscript"/>
        </w:rPr>
        <w:t>xy</w:t>
      </w:r>
      <w:proofErr w:type="spellEnd"/>
      <w:r>
        <w:t>)</w:t>
      </w:r>
      <w:r w:rsidRPr="00E1656E">
        <w:t xml:space="preserve"> e </w:t>
      </w:r>
      <w:r w:rsidRPr="00A30F45">
        <w:t>resistência à ruptura (</w:t>
      </w:r>
      <w:proofErr w:type="spellStart"/>
      <w:r w:rsidRPr="00A30F45">
        <w:t>σ</w:t>
      </w:r>
      <w:r w:rsidRPr="00A30F45">
        <w:rPr>
          <w:vertAlign w:val="subscript"/>
        </w:rPr>
        <w:t>r</w:t>
      </w:r>
      <w:proofErr w:type="spellEnd"/>
      <w:r w:rsidRPr="00A30F45">
        <w:t xml:space="preserve">). Foram preparados corpos de prova com as dimensões apresentadas na </w:t>
      </w:r>
      <w:r w:rsidRPr="00A30F45">
        <w:fldChar w:fldCharType="begin"/>
      </w:r>
      <w:r w:rsidRPr="00A30F45">
        <w:instrText xml:space="preserve"> REF _Ref380179934 \h  \* MERGEFORMAT </w:instrText>
      </w:r>
      <w:r w:rsidRPr="00A30F45">
        <w:fldChar w:fldCharType="separate"/>
      </w:r>
      <w:r w:rsidRPr="00A30F45">
        <w:t xml:space="preserve">Figura </w:t>
      </w:r>
      <w:r w:rsidRPr="00A30F45">
        <w:fldChar w:fldCharType="end"/>
      </w:r>
      <w:proofErr w:type="gramStart"/>
      <w:r w:rsidRPr="00A30F45">
        <w:t>8</w:t>
      </w:r>
      <w:proofErr w:type="gramEnd"/>
      <w:r w:rsidRPr="00A30F45">
        <w:t xml:space="preserve">. O ensaio foi realizado na MTS, segundo norma ASTM D3039 [12], com velocidade de </w:t>
      </w:r>
      <w:proofErr w:type="gramStart"/>
      <w:r w:rsidRPr="00A30F45">
        <w:t>5</w:t>
      </w:r>
      <w:proofErr w:type="gramEnd"/>
      <w:r w:rsidRPr="00A30F45">
        <w:t xml:space="preserve"> mm/s. Foram posicionados </w:t>
      </w:r>
      <w:proofErr w:type="spellStart"/>
      <w:r w:rsidRPr="00A30F45">
        <w:t>straingages</w:t>
      </w:r>
      <w:proofErr w:type="spellEnd"/>
      <w:r w:rsidRPr="00A30F45">
        <w:t xml:space="preserve"> bidirecionais PA-06-125TG-350L no centro do corpo de prova para leitura da deformação longitudinal (</w:t>
      </w:r>
      <w:r w:rsidRPr="00A30F45">
        <w:rPr>
          <w:rFonts w:ascii="Symbol" w:hAnsi="Symbol"/>
        </w:rPr>
        <w:sym w:font="Symbol" w:char="F065"/>
      </w:r>
      <w:r w:rsidRPr="00A30F45">
        <w:rPr>
          <w:vertAlign w:val="subscript"/>
        </w:rPr>
        <w:t>l</w:t>
      </w:r>
      <w:r w:rsidRPr="00A30F45">
        <w:t xml:space="preserve">) </w:t>
      </w:r>
      <w:r w:rsidRPr="00E1656E">
        <w:t>e deformação transversal (</w:t>
      </w:r>
      <w:r w:rsidRPr="00560F91">
        <w:rPr>
          <w:rFonts w:ascii="Symbol" w:hAnsi="Symbol"/>
        </w:rPr>
        <w:t></w:t>
      </w:r>
      <w:r w:rsidRPr="00E1656E">
        <w:rPr>
          <w:vertAlign w:val="subscript"/>
        </w:rPr>
        <w:t>t</w:t>
      </w:r>
      <w:r w:rsidRPr="00E1656E">
        <w:t xml:space="preserve">). Foram colados </w:t>
      </w:r>
      <w:proofErr w:type="spellStart"/>
      <w:r w:rsidRPr="00E1656E">
        <w:rPr>
          <w:i/>
        </w:rPr>
        <w:t>tabs</w:t>
      </w:r>
      <w:proofErr w:type="spellEnd"/>
      <w:r w:rsidRPr="00E1656E">
        <w:t xml:space="preserve"> de apoio</w:t>
      </w:r>
      <w:r>
        <w:t xml:space="preserve"> nas extremidades</w:t>
      </w:r>
      <w:r w:rsidRPr="00E1656E">
        <w:t xml:space="preserve"> para a proteção do corpo de prova à pressão da garra </w:t>
      </w:r>
      <w:r>
        <w:t>(</w:t>
      </w:r>
      <w:proofErr w:type="gramStart"/>
      <w:r>
        <w:t>6</w:t>
      </w:r>
      <w:proofErr w:type="gramEnd"/>
      <w:r>
        <w:t xml:space="preserve"> MPa)</w:t>
      </w:r>
      <w:r w:rsidRPr="00E1656E">
        <w:t xml:space="preserve">. O coeficiente de Poisson </w:t>
      </w:r>
      <w:r w:rsidRPr="009A3A32">
        <w:t xml:space="preserve">e o Módulo de Cisalhamento </w:t>
      </w:r>
      <w:r>
        <w:t>são</w:t>
      </w:r>
      <w:r w:rsidRPr="00E1656E">
        <w:t xml:space="preserve"> </w:t>
      </w:r>
      <w:r>
        <w:t>o</w:t>
      </w:r>
      <w:r w:rsidRPr="00E1656E">
        <w:t xml:space="preserve">btidos para o plano </w:t>
      </w:r>
      <w:proofErr w:type="spellStart"/>
      <w:r w:rsidRPr="00E1656E">
        <w:t>xy</w:t>
      </w:r>
      <w:proofErr w:type="spellEnd"/>
      <w:r w:rsidRPr="00E1656E">
        <w:t xml:space="preserve">, pois </w:t>
      </w:r>
      <w:r>
        <w:t>neste o material</w:t>
      </w:r>
      <w:r w:rsidRPr="00E1656E">
        <w:t xml:space="preserve"> é isotrópico.</w:t>
      </w:r>
    </w:p>
    <w:p w:rsidR="00BF05B6" w:rsidRPr="00E1656E" w:rsidRDefault="00BF05B6" w:rsidP="00BF05B6">
      <w:pPr>
        <w:pStyle w:val="Legenda"/>
        <w:spacing w:after="0"/>
        <w:rPr>
          <w:rFonts w:cs="Arial"/>
        </w:rPr>
      </w:pPr>
      <w:r>
        <w:rPr>
          <w:rFonts w:cs="Arial"/>
          <w:noProof/>
          <w:color w:val="000000"/>
        </w:rPr>
        <w:drawing>
          <wp:inline distT="0" distB="0" distL="0" distR="0" wp14:anchorId="392CA62B" wp14:editId="00EF9CC3">
            <wp:extent cx="4634643" cy="148855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0126" cy="1499955"/>
                    </a:xfrm>
                    <a:prstGeom prst="rect">
                      <a:avLst/>
                    </a:prstGeom>
                    <a:noFill/>
                    <a:ln>
                      <a:noFill/>
                    </a:ln>
                  </pic:spPr>
                </pic:pic>
              </a:graphicData>
            </a:graphic>
          </wp:inline>
        </w:drawing>
      </w:r>
    </w:p>
    <w:p w:rsidR="00BF05B6" w:rsidRPr="000548B1" w:rsidRDefault="00BF05B6" w:rsidP="00BF05B6">
      <w:pPr>
        <w:pStyle w:val="Legenda"/>
        <w:spacing w:after="0"/>
        <w:rPr>
          <w:rFonts w:cs="Arial"/>
        </w:rPr>
      </w:pPr>
      <w:bookmarkStart w:id="14" w:name="_Ref380179934"/>
      <w:bookmarkStart w:id="15" w:name="_Toc380766928"/>
      <w:r w:rsidRPr="00C40231">
        <w:rPr>
          <w:rFonts w:cs="Arial"/>
          <w:b/>
        </w:rPr>
        <w:t xml:space="preserve">Figura </w:t>
      </w:r>
      <w:bookmarkEnd w:id="14"/>
      <w:r>
        <w:rPr>
          <w:rFonts w:cs="Arial"/>
          <w:b/>
        </w:rPr>
        <w:t xml:space="preserve">8. </w:t>
      </w:r>
      <w:r w:rsidRPr="00E1656E">
        <w:rPr>
          <w:rFonts w:cs="Arial"/>
        </w:rPr>
        <w:t xml:space="preserve">Dimensões dos corpos de prova de tração em preto, </w:t>
      </w:r>
      <w:proofErr w:type="spellStart"/>
      <w:r w:rsidRPr="00E1656E">
        <w:rPr>
          <w:rFonts w:cs="Arial"/>
          <w:i/>
        </w:rPr>
        <w:t>tabs</w:t>
      </w:r>
      <w:proofErr w:type="spellEnd"/>
      <w:r w:rsidRPr="00E1656E">
        <w:rPr>
          <w:rFonts w:cs="Arial"/>
        </w:rPr>
        <w:t xml:space="preserve"> de apoio em azul e </w:t>
      </w:r>
      <w:proofErr w:type="spellStart"/>
      <w:r w:rsidRPr="00E1656E">
        <w:rPr>
          <w:rFonts w:cs="Arial"/>
          <w:i/>
        </w:rPr>
        <w:t>straingage</w:t>
      </w:r>
      <w:proofErr w:type="spellEnd"/>
      <w:proofErr w:type="gramStart"/>
      <w:r w:rsidRPr="00E1656E">
        <w:rPr>
          <w:rFonts w:cs="Arial"/>
          <w:i/>
        </w:rPr>
        <w:t xml:space="preserve"> </w:t>
      </w:r>
      <w:r w:rsidRPr="00E1656E">
        <w:rPr>
          <w:rFonts w:cs="Arial"/>
        </w:rPr>
        <w:t xml:space="preserve"> </w:t>
      </w:r>
      <w:proofErr w:type="gramEnd"/>
      <w:r w:rsidRPr="00E1656E">
        <w:rPr>
          <w:rFonts w:cs="Arial"/>
        </w:rPr>
        <w:t>em cinza</w:t>
      </w:r>
      <w:bookmarkEnd w:id="15"/>
      <w:r>
        <w:rPr>
          <w:rFonts w:cs="Arial"/>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tblGrid>
      <w:tr w:rsidR="00BF05B6" w:rsidRPr="00E1656E" w:rsidTr="008E6131">
        <w:tc>
          <w:tcPr>
            <w:tcW w:w="1165" w:type="dxa"/>
          </w:tcPr>
          <w:p w:rsidR="00BF05B6" w:rsidRPr="00E1656E" w:rsidRDefault="00BF05B6" w:rsidP="008E6131">
            <w:pPr>
              <w:jc w:val="right"/>
              <w:rPr>
                <w:rFonts w:eastAsia="Calibri"/>
                <w:sz w:val="28"/>
              </w:rPr>
            </w:pPr>
          </w:p>
        </w:tc>
      </w:tr>
    </w:tbl>
    <w:p w:rsidR="00BF05B6" w:rsidRPr="00126A8E" w:rsidRDefault="00BF05B6" w:rsidP="00BF05B6">
      <w:pPr>
        <w:pStyle w:val="PargrafodaLista"/>
        <w:numPr>
          <w:ilvl w:val="0"/>
          <w:numId w:val="3"/>
        </w:numPr>
        <w:spacing w:after="120"/>
        <w:ind w:left="374" w:hanging="374"/>
        <w:jc w:val="both"/>
        <w:outlineLvl w:val="1"/>
        <w:rPr>
          <w:b/>
        </w:rPr>
      </w:pPr>
      <w:bookmarkStart w:id="16" w:name="_Toc380767041"/>
      <w:r w:rsidRPr="00C40231">
        <w:rPr>
          <w:b/>
        </w:rPr>
        <w:t xml:space="preserve">RESULTADOS E DISCUSSÃO </w:t>
      </w:r>
    </w:p>
    <w:bookmarkEnd w:id="16"/>
    <w:p w:rsidR="00BF05B6" w:rsidRPr="00E1656E" w:rsidRDefault="00BF05B6" w:rsidP="00BF05B6">
      <w:pPr>
        <w:jc w:val="both"/>
      </w:pPr>
      <w:r w:rsidRPr="00A30F45">
        <w:t xml:space="preserve">A </w:t>
      </w:r>
      <w:r w:rsidRPr="00A30F45">
        <w:fldChar w:fldCharType="begin"/>
      </w:r>
      <w:r w:rsidRPr="00A30F45">
        <w:instrText xml:space="preserve"> REF _Ref371955925 \h  \* MERGEFORMAT </w:instrText>
      </w:r>
      <w:r w:rsidRPr="00A30F45">
        <w:fldChar w:fldCharType="separate"/>
      </w:r>
      <w:r w:rsidRPr="00A30F45">
        <w:t xml:space="preserve">Figura </w:t>
      </w:r>
      <w:r w:rsidRPr="00A30F45">
        <w:fldChar w:fldCharType="end"/>
      </w:r>
      <w:proofErr w:type="gramStart"/>
      <w:r w:rsidRPr="00A30F45">
        <w:t>9</w:t>
      </w:r>
      <w:proofErr w:type="gramEnd"/>
      <w:r w:rsidRPr="00A30F45">
        <w:t xml:space="preserve"> mostra a extremidade do compósito cortado. Pode-se observar que o compósito não apresenta nenhum dano nas extremidades, como delaminações, arrancamento de fibras, entre outros. Outro fato importante é que as dimensões estão precisas, atendendo as especificações das normas ASTM D5528 [7] e ASTM D790-10 [11]. Pode-se notar que o processo de fabricação do inserto utilizando o </w:t>
      </w:r>
      <w:r w:rsidRPr="00A30F45">
        <w:rPr>
          <w:i/>
        </w:rPr>
        <w:t>bag</w:t>
      </w:r>
      <w:r w:rsidRPr="00A30F45">
        <w:t xml:space="preserve"> mantém a integridade do compósito, garantindo </w:t>
      </w:r>
      <w:r>
        <w:t>a trinca inicial.</w:t>
      </w:r>
    </w:p>
    <w:p w:rsidR="00BF05B6" w:rsidRPr="00E1656E" w:rsidRDefault="00BF05B6" w:rsidP="00BF05B6">
      <w:pPr>
        <w:jc w:val="center"/>
      </w:pPr>
    </w:p>
    <w:p w:rsidR="00BF05B6" w:rsidRPr="007F7063" w:rsidRDefault="00BF05B6" w:rsidP="00BF05B6">
      <w:pPr>
        <w:jc w:val="center"/>
        <w:rPr>
          <w:color w:val="FF0000"/>
        </w:rPr>
      </w:pPr>
      <w:r>
        <w:rPr>
          <w:noProof/>
        </w:rPr>
        <w:drawing>
          <wp:inline distT="0" distB="0" distL="0" distR="0" wp14:anchorId="091333E0" wp14:editId="40B9C2B6">
            <wp:extent cx="2422477" cy="641445"/>
            <wp:effectExtent l="0" t="0" r="0"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t="31859" r="57889" b="25355"/>
                    <a:stretch/>
                  </pic:blipFill>
                  <pic:spPr bwMode="auto">
                    <a:xfrm>
                      <a:off x="0" y="0"/>
                      <a:ext cx="2422477" cy="641445"/>
                    </a:xfrm>
                    <a:prstGeom prst="rect">
                      <a:avLst/>
                    </a:prstGeom>
                    <a:noFill/>
                    <a:ln>
                      <a:noFill/>
                    </a:ln>
                    <a:extLst>
                      <a:ext uri="{53640926-AAD7-44D8-BBD7-CCE9431645EC}">
                        <a14:shadowObscured xmlns:a14="http://schemas.microsoft.com/office/drawing/2010/main"/>
                      </a:ext>
                    </a:extLst>
                  </pic:spPr>
                </pic:pic>
              </a:graphicData>
            </a:graphic>
          </wp:inline>
        </w:drawing>
      </w:r>
      <w:r>
        <w:rPr>
          <w:color w:val="FF0000"/>
        </w:rPr>
        <w:t xml:space="preserve"> </w:t>
      </w:r>
    </w:p>
    <w:p w:rsidR="00BF05B6" w:rsidRDefault="00BF05B6" w:rsidP="00BF05B6">
      <w:pPr>
        <w:pStyle w:val="Legenda"/>
        <w:spacing w:after="0"/>
        <w:rPr>
          <w:rFonts w:cs="Arial"/>
        </w:rPr>
      </w:pPr>
      <w:r w:rsidRPr="00C40231">
        <w:rPr>
          <w:rFonts w:cs="Arial"/>
          <w:b/>
        </w:rPr>
        <w:t xml:space="preserve">Figura </w:t>
      </w:r>
      <w:r>
        <w:rPr>
          <w:rFonts w:cs="Arial"/>
          <w:b/>
        </w:rPr>
        <w:t xml:space="preserve">9. </w:t>
      </w:r>
      <w:r w:rsidRPr="00E1656E">
        <w:rPr>
          <w:rFonts w:cs="Arial"/>
        </w:rPr>
        <w:t>Amostra após corte a jato d’água</w:t>
      </w:r>
      <w:r>
        <w:rPr>
          <w:rFonts w:cs="Arial"/>
        </w:rPr>
        <w:t>.</w:t>
      </w:r>
      <w:r w:rsidRPr="00E1656E">
        <w:rPr>
          <w:rFonts w:cs="Arial"/>
        </w:rPr>
        <w:t xml:space="preserve"> Inserto ob</w:t>
      </w:r>
      <w:r>
        <w:rPr>
          <w:rFonts w:cs="Arial"/>
        </w:rPr>
        <w:t>tido na preparação do compósito.</w:t>
      </w:r>
    </w:p>
    <w:p w:rsidR="00BF05B6" w:rsidRDefault="00BF05B6" w:rsidP="00BF05B6">
      <w:pPr>
        <w:pStyle w:val="Legenda"/>
        <w:spacing w:after="0"/>
        <w:rPr>
          <w:rFonts w:cs="Arial"/>
        </w:rPr>
      </w:pPr>
      <w:r>
        <w:rPr>
          <w:rFonts w:cs="Arial"/>
        </w:rPr>
        <w:t xml:space="preserve"> </w:t>
      </w:r>
    </w:p>
    <w:p w:rsidR="00BF05B6" w:rsidRPr="00A30F45" w:rsidRDefault="00BF05B6" w:rsidP="00BF05B6">
      <w:pPr>
        <w:pStyle w:val="NormalWeb"/>
        <w:shd w:val="clear" w:color="auto" w:fill="FFFFFF"/>
        <w:spacing w:before="0" w:beforeAutospacing="0" w:after="0" w:afterAutospacing="0"/>
        <w:jc w:val="both"/>
        <w:rPr>
          <w:rFonts w:ascii="Arial" w:hAnsi="Arial" w:cs="Arial"/>
        </w:rPr>
      </w:pPr>
      <w:r>
        <w:rPr>
          <w:rFonts w:ascii="Arial" w:hAnsi="Arial" w:cs="Arial"/>
          <w:color w:val="000000"/>
        </w:rPr>
        <w:t>A</w:t>
      </w:r>
      <w:r w:rsidRPr="00E1656E">
        <w:rPr>
          <w:rFonts w:ascii="Arial" w:hAnsi="Arial" w:cs="Arial"/>
          <w:color w:val="000000"/>
        </w:rPr>
        <w:t xml:space="preserve"> densidade e de porcentagem de fibra de carbono foram, respectivamente, 2,2 g/cm</w:t>
      </w:r>
      <w:r w:rsidRPr="00E1656E">
        <w:rPr>
          <w:rFonts w:ascii="Arial" w:hAnsi="Arial" w:cs="Arial"/>
          <w:color w:val="000000"/>
          <w:vertAlign w:val="superscript"/>
        </w:rPr>
        <w:t>3</w:t>
      </w:r>
      <w:r w:rsidRPr="00E1656E">
        <w:rPr>
          <w:rFonts w:ascii="Arial" w:hAnsi="Arial" w:cs="Arial"/>
          <w:color w:val="000000"/>
        </w:rPr>
        <w:t xml:space="preserve"> e 57,75%F.C. </w:t>
      </w:r>
      <w:r>
        <w:rPr>
          <w:rFonts w:ascii="Arial" w:hAnsi="Arial" w:cs="Arial"/>
          <w:color w:val="000000"/>
        </w:rPr>
        <w:t>Fato que demonstra que o</w:t>
      </w:r>
      <w:r w:rsidRPr="00E1656E">
        <w:rPr>
          <w:rFonts w:ascii="Arial" w:hAnsi="Arial" w:cs="Arial"/>
          <w:color w:val="000000"/>
        </w:rPr>
        <w:t xml:space="preserve"> compósito tem grande quantidade de </w:t>
      </w:r>
      <w:r w:rsidRPr="00A30F45">
        <w:rPr>
          <w:rFonts w:ascii="Arial" w:hAnsi="Arial" w:cs="Arial"/>
        </w:rPr>
        <w:t xml:space="preserve">fibra de carbono caracterizando-o como rígido em relação </w:t>
      </w:r>
      <w:proofErr w:type="gramStart"/>
      <w:r w:rsidRPr="00A30F45">
        <w:rPr>
          <w:rFonts w:ascii="Arial" w:hAnsi="Arial" w:cs="Arial"/>
        </w:rPr>
        <w:t>a</w:t>
      </w:r>
      <w:proofErr w:type="gramEnd"/>
      <w:r w:rsidRPr="00A30F45">
        <w:rPr>
          <w:rFonts w:ascii="Arial" w:hAnsi="Arial" w:cs="Arial"/>
        </w:rPr>
        <w:t xml:space="preserve"> matriz </w:t>
      </w:r>
      <w:proofErr w:type="spellStart"/>
      <w:r w:rsidRPr="00A30F45">
        <w:rPr>
          <w:rFonts w:ascii="Arial" w:hAnsi="Arial" w:cs="Arial"/>
        </w:rPr>
        <w:t>termofixa</w:t>
      </w:r>
      <w:proofErr w:type="spellEnd"/>
      <w:r w:rsidRPr="00A30F45">
        <w:rPr>
          <w:rFonts w:ascii="Arial" w:hAnsi="Arial" w:cs="Arial"/>
        </w:rPr>
        <w:t>.</w:t>
      </w:r>
    </w:p>
    <w:p w:rsidR="00BF05B6" w:rsidRPr="00E1656E" w:rsidRDefault="00BF05B6" w:rsidP="00BF05B6">
      <w:pPr>
        <w:jc w:val="both"/>
      </w:pPr>
      <w:bookmarkStart w:id="17" w:name="_Toc380767044"/>
      <w:r w:rsidRPr="00A30F45">
        <w:t xml:space="preserve">A Figura 10 apresenta o gráfico de tensão x deformação dos ensaios de tração. </w:t>
      </w:r>
      <w:proofErr w:type="gramStart"/>
      <w:r w:rsidRPr="00A30F45">
        <w:t>Pode-se</w:t>
      </w:r>
      <w:proofErr w:type="gramEnd"/>
      <w:r w:rsidRPr="00A30F45">
        <w:t xml:space="preserve"> caracterizar os valores de módulo elástico (E), Poisson (</w:t>
      </w:r>
      <w:r w:rsidRPr="00A30F45">
        <w:rPr>
          <w:rFonts w:ascii="Symbol" w:hAnsi="Symbol"/>
        </w:rPr>
        <w:t></w:t>
      </w:r>
      <w:r w:rsidRPr="00A30F45">
        <w:t>), módulo de rigidez (G) e resistência à ruptura (</w:t>
      </w:r>
      <w:proofErr w:type="spellStart"/>
      <w:r w:rsidRPr="00A30F45">
        <w:t>σ</w:t>
      </w:r>
      <w:r w:rsidRPr="00A30F45">
        <w:rPr>
          <w:vertAlign w:val="subscript"/>
        </w:rPr>
        <w:t>r</w:t>
      </w:r>
      <w:proofErr w:type="spellEnd"/>
      <w:r w:rsidRPr="00A30F45">
        <w:t>), Tabela 1. Adicionalmente</w:t>
      </w:r>
      <w:r w:rsidRPr="00E1656E">
        <w:t>, o compósito apresenta pouca deformação plástica, evidenciando que se trata de um material rígido</w:t>
      </w:r>
      <w:r>
        <w:t xml:space="preserve"> e frágil</w:t>
      </w:r>
      <w:r w:rsidRPr="00E1656E">
        <w:t xml:space="preserve">, </w:t>
      </w:r>
      <w:r>
        <w:t>c</w:t>
      </w:r>
      <w:r w:rsidRPr="00E1656E">
        <w:t>o</w:t>
      </w:r>
      <w:r>
        <w:t>m</w:t>
      </w:r>
      <w:r w:rsidRPr="00E1656E">
        <w:t xml:space="preserve"> comportamento elástico linear, </w:t>
      </w:r>
      <w:r>
        <w:t>sem</w:t>
      </w:r>
      <w:r w:rsidRPr="00E1656E">
        <w:t xml:space="preserve"> escoamento</w:t>
      </w:r>
      <w:r>
        <w:t xml:space="preserve"> definido.</w:t>
      </w:r>
      <w:r w:rsidRPr="00C40231">
        <w:t xml:space="preserve"> </w:t>
      </w:r>
      <w:r>
        <w:t>O</w:t>
      </w:r>
      <w:r w:rsidRPr="00E1656E">
        <w:t xml:space="preserve"> módulo elástico de 36,9 </w:t>
      </w:r>
      <w:proofErr w:type="spellStart"/>
      <w:proofErr w:type="gramStart"/>
      <w:r w:rsidRPr="00E1656E">
        <w:t>GPa</w:t>
      </w:r>
      <w:proofErr w:type="spellEnd"/>
      <w:proofErr w:type="gramEnd"/>
      <w:r w:rsidRPr="00E1656E">
        <w:t xml:space="preserve"> comprova que o compósito tem elevada rigidez. </w:t>
      </w:r>
    </w:p>
    <w:p w:rsidR="00BF05B6" w:rsidRPr="00896445" w:rsidRDefault="00BF05B6" w:rsidP="00BF05B6">
      <w:pPr>
        <w:spacing w:before="120"/>
        <w:jc w:val="center"/>
        <w:rPr>
          <w:color w:val="FF0000"/>
          <w:sz w:val="20"/>
          <w:szCs w:val="20"/>
        </w:rPr>
      </w:pPr>
      <w:r w:rsidRPr="00C40231">
        <w:rPr>
          <w:b/>
          <w:sz w:val="20"/>
          <w:szCs w:val="20"/>
        </w:rPr>
        <w:t xml:space="preserve">Tabela </w:t>
      </w:r>
      <w:r>
        <w:rPr>
          <w:b/>
          <w:sz w:val="20"/>
          <w:szCs w:val="20"/>
        </w:rPr>
        <w:t xml:space="preserve">1. </w:t>
      </w:r>
      <w:r w:rsidRPr="00E1656E">
        <w:rPr>
          <w:sz w:val="20"/>
          <w:szCs w:val="20"/>
        </w:rPr>
        <w:t>Valores das propriedades mecâni</w:t>
      </w:r>
      <w:r>
        <w:rPr>
          <w:sz w:val="20"/>
          <w:szCs w:val="20"/>
        </w:rPr>
        <w:t xml:space="preserve">cas obtidas no ensaio de tração </w:t>
      </w:r>
    </w:p>
    <w:p w:rsidR="00BF05B6" w:rsidRDefault="00BF05B6" w:rsidP="00BF05B6">
      <w:pPr>
        <w:jc w:val="center"/>
        <w:rPr>
          <w:sz w:val="20"/>
          <w:szCs w:val="20"/>
        </w:rPr>
      </w:pPr>
      <w:r w:rsidRPr="00A30F45">
        <w:rPr>
          <w:noProof/>
        </w:rPr>
        <w:drawing>
          <wp:inline distT="0" distB="0" distL="0" distR="0" wp14:anchorId="2CFEF72C" wp14:editId="4C5D1166">
            <wp:extent cx="4603750" cy="641350"/>
            <wp:effectExtent l="0" t="0" r="635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3750" cy="641350"/>
                    </a:xfrm>
                    <a:prstGeom prst="rect">
                      <a:avLst/>
                    </a:prstGeom>
                    <a:noFill/>
                    <a:ln>
                      <a:noFill/>
                    </a:ln>
                  </pic:spPr>
                </pic:pic>
              </a:graphicData>
            </a:graphic>
          </wp:inline>
        </w:drawing>
      </w:r>
    </w:p>
    <w:p w:rsidR="00BF05B6" w:rsidRPr="00E1656E" w:rsidRDefault="00BF05B6" w:rsidP="00BF05B6">
      <w:pPr>
        <w:jc w:val="center"/>
      </w:pPr>
      <w:r>
        <w:rPr>
          <w:noProof/>
        </w:rPr>
        <w:lastRenderedPageBreak/>
        <w:drawing>
          <wp:inline distT="0" distB="0" distL="0" distR="0" wp14:anchorId="29715BA9" wp14:editId="7CD6218E">
            <wp:extent cx="3648710" cy="2099462"/>
            <wp:effectExtent l="0" t="0" r="889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9577" cy="2111469"/>
                    </a:xfrm>
                    <a:prstGeom prst="rect">
                      <a:avLst/>
                    </a:prstGeom>
                    <a:noFill/>
                  </pic:spPr>
                </pic:pic>
              </a:graphicData>
            </a:graphic>
          </wp:inline>
        </w:drawing>
      </w:r>
    </w:p>
    <w:p w:rsidR="00BF05B6" w:rsidRPr="00670585" w:rsidRDefault="00BF05B6" w:rsidP="00BF05B6">
      <w:pPr>
        <w:pStyle w:val="Legenda"/>
        <w:spacing w:after="0"/>
        <w:rPr>
          <w:rFonts w:cs="Arial"/>
          <w:color w:val="FF0000"/>
        </w:rPr>
      </w:pPr>
      <w:bookmarkStart w:id="18" w:name="_Toc380766947"/>
      <w:r w:rsidRPr="00C40231">
        <w:rPr>
          <w:rFonts w:cs="Arial"/>
          <w:b/>
        </w:rPr>
        <w:t xml:space="preserve">Figura </w:t>
      </w:r>
      <w:r>
        <w:rPr>
          <w:rFonts w:cs="Arial"/>
          <w:b/>
        </w:rPr>
        <w:t xml:space="preserve">10. </w:t>
      </w:r>
      <w:r w:rsidRPr="00E1656E">
        <w:rPr>
          <w:rFonts w:cs="Arial"/>
        </w:rPr>
        <w:t xml:space="preserve"> </w:t>
      </w:r>
      <w:proofErr w:type="gramStart"/>
      <w:r w:rsidRPr="00E1656E">
        <w:rPr>
          <w:rFonts w:cs="Arial"/>
        </w:rPr>
        <w:t>Gráfico Tensão x</w:t>
      </w:r>
      <w:proofErr w:type="gramEnd"/>
      <w:r w:rsidRPr="00E1656E">
        <w:rPr>
          <w:rFonts w:cs="Arial"/>
        </w:rPr>
        <w:t xml:space="preserve"> Deformação longitudinal</w:t>
      </w:r>
      <w:bookmarkEnd w:id="18"/>
      <w:r>
        <w:rPr>
          <w:rFonts w:cs="Arial"/>
        </w:rPr>
        <w:t xml:space="preserve">. </w:t>
      </w:r>
    </w:p>
    <w:p w:rsidR="00BF05B6" w:rsidRPr="002A5DC4" w:rsidRDefault="00BF05B6" w:rsidP="00BF05B6">
      <w:pPr>
        <w:pStyle w:val="PargrafodaLista"/>
        <w:numPr>
          <w:ilvl w:val="1"/>
          <w:numId w:val="3"/>
        </w:numPr>
        <w:spacing w:before="120" w:after="120"/>
        <w:ind w:left="1077"/>
        <w:jc w:val="both"/>
        <w:outlineLvl w:val="1"/>
        <w:rPr>
          <w:b/>
        </w:rPr>
      </w:pPr>
      <w:r w:rsidRPr="00E1656E">
        <w:rPr>
          <w:b/>
        </w:rPr>
        <w:t>ENF (</w:t>
      </w:r>
      <w:proofErr w:type="spellStart"/>
      <w:r w:rsidRPr="00E1656E">
        <w:rPr>
          <w:b/>
        </w:rPr>
        <w:t>End-notched</w:t>
      </w:r>
      <w:proofErr w:type="spellEnd"/>
      <w:r w:rsidRPr="00E1656E">
        <w:rPr>
          <w:b/>
        </w:rPr>
        <w:t xml:space="preserve"> </w:t>
      </w:r>
      <w:proofErr w:type="spellStart"/>
      <w:r w:rsidRPr="00E1656E">
        <w:rPr>
          <w:b/>
        </w:rPr>
        <w:t>Flexure</w:t>
      </w:r>
      <w:proofErr w:type="spellEnd"/>
      <w:r w:rsidRPr="00E1656E">
        <w:rPr>
          <w:b/>
        </w:rPr>
        <w:t>)</w:t>
      </w:r>
      <w:bookmarkEnd w:id="17"/>
    </w:p>
    <w:p w:rsidR="00BF05B6" w:rsidRDefault="00BF05B6" w:rsidP="00BF05B6">
      <w:pPr>
        <w:spacing w:after="120"/>
        <w:jc w:val="both"/>
      </w:pPr>
      <w:r w:rsidRPr="00A30F45">
        <w:t>A Figura 11 apresenta os gráficos de força por deslocamento obtidos no ensaio ENF. O início da propagação da trinca é dado pela falta da linearidade no gráfico (instabilidade proporcionada pela trinca). Observa-se que existe o comportamento linear no início do carregamento, seguido da instabilidade, caracterizando o início da propagação da trinca. Após este estágio, pode-se notar uma pequena propagação da trinca, porém insuficiente para a caracterização mecânica (Figura 12). Es</w:t>
      </w:r>
      <w:r w:rsidRPr="00E1656E">
        <w:t xml:space="preserve">se fato </w:t>
      </w:r>
      <w:r>
        <w:t>ocorre</w:t>
      </w:r>
      <w:r w:rsidRPr="00E1656E">
        <w:t xml:space="preserve"> devido aos campos de compressão causados pela aplicação de carga durante a flexão do material</w:t>
      </w:r>
      <w:r>
        <w:t xml:space="preserve">, que </w:t>
      </w:r>
      <w:r w:rsidRPr="00E1656E">
        <w:t xml:space="preserve">na ponta da trinca </w:t>
      </w:r>
      <w:r>
        <w:t>dificulta sua abertura.</w:t>
      </w:r>
    </w:p>
    <w:p w:rsidR="00BF05B6" w:rsidRPr="00E1656E" w:rsidRDefault="00BF05B6" w:rsidP="00BF05B6">
      <w:pPr>
        <w:jc w:val="center"/>
      </w:pPr>
      <w:r>
        <w:rPr>
          <w:noProof/>
        </w:rPr>
        <w:drawing>
          <wp:inline distT="0" distB="0" distL="0" distR="0" wp14:anchorId="27D8F41A" wp14:editId="49195E44">
            <wp:extent cx="4266000" cy="2394000"/>
            <wp:effectExtent l="0" t="0" r="127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6000" cy="2394000"/>
                    </a:xfrm>
                    <a:prstGeom prst="rect">
                      <a:avLst/>
                    </a:prstGeom>
                    <a:noFill/>
                  </pic:spPr>
                </pic:pic>
              </a:graphicData>
            </a:graphic>
          </wp:inline>
        </w:drawing>
      </w:r>
    </w:p>
    <w:p w:rsidR="00BF05B6" w:rsidRDefault="00BF05B6" w:rsidP="00BF05B6">
      <w:pPr>
        <w:pStyle w:val="Legenda"/>
        <w:spacing w:after="0"/>
        <w:rPr>
          <w:rFonts w:cs="Arial"/>
        </w:rPr>
      </w:pPr>
      <w:r>
        <w:rPr>
          <w:rFonts w:cs="Arial"/>
          <w:b/>
        </w:rPr>
        <w:t>Figura 11.</w:t>
      </w:r>
      <w:r w:rsidRPr="00E1656E">
        <w:rPr>
          <w:rFonts w:cs="Arial"/>
        </w:rPr>
        <w:t xml:space="preserve"> </w:t>
      </w:r>
      <w:proofErr w:type="gramStart"/>
      <w:r w:rsidRPr="00E1656E">
        <w:rPr>
          <w:rFonts w:cs="Arial"/>
        </w:rPr>
        <w:t>Gráfico Força x</w:t>
      </w:r>
      <w:proofErr w:type="gramEnd"/>
      <w:r w:rsidRPr="00E1656E">
        <w:rPr>
          <w:rFonts w:cs="Arial"/>
        </w:rPr>
        <w:t xml:space="preserve"> deslocamento </w:t>
      </w:r>
      <w:r>
        <w:rPr>
          <w:rFonts w:cs="Arial"/>
        </w:rPr>
        <w:t>obtida no ensaio ENF.</w:t>
      </w:r>
    </w:p>
    <w:p w:rsidR="00BF05B6" w:rsidRPr="00670585" w:rsidRDefault="00BF05B6" w:rsidP="00BF05B6">
      <w:pPr>
        <w:rPr>
          <w:lang w:eastAsia="en-US"/>
        </w:rPr>
      </w:pPr>
    </w:p>
    <w:p w:rsidR="00BF05B6" w:rsidRPr="00E1656E" w:rsidRDefault="00BF05B6" w:rsidP="00BF05B6">
      <w:pPr>
        <w:jc w:val="center"/>
      </w:pPr>
      <w:r w:rsidRPr="00E1656E">
        <w:rPr>
          <w:noProof/>
        </w:rPr>
        <w:drawing>
          <wp:inline distT="0" distB="0" distL="0" distR="0" wp14:anchorId="1D2DCCCA" wp14:editId="0116202D">
            <wp:extent cx="3531289" cy="1711277"/>
            <wp:effectExtent l="0" t="0" r="0" b="3810"/>
            <wp:docPr id="309" name="Imagem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12626"/>
                    <a:stretch/>
                  </pic:blipFill>
                  <pic:spPr bwMode="auto">
                    <a:xfrm>
                      <a:off x="0" y="0"/>
                      <a:ext cx="3549300" cy="1720005"/>
                    </a:xfrm>
                    <a:prstGeom prst="rect">
                      <a:avLst/>
                    </a:prstGeom>
                    <a:noFill/>
                    <a:ln>
                      <a:noFill/>
                    </a:ln>
                    <a:extLst>
                      <a:ext uri="{53640926-AAD7-44D8-BBD7-CCE9431645EC}">
                        <a14:shadowObscured xmlns:a14="http://schemas.microsoft.com/office/drawing/2010/main"/>
                      </a:ext>
                    </a:extLst>
                  </pic:spPr>
                </pic:pic>
              </a:graphicData>
            </a:graphic>
          </wp:inline>
        </w:drawing>
      </w:r>
    </w:p>
    <w:p w:rsidR="00BF05B6" w:rsidRDefault="00BF05B6" w:rsidP="00BF05B6">
      <w:pPr>
        <w:pStyle w:val="Legenda"/>
        <w:spacing w:after="0"/>
        <w:rPr>
          <w:rFonts w:cs="Arial"/>
        </w:rPr>
      </w:pPr>
      <w:bookmarkStart w:id="19" w:name="_Ref374659203"/>
      <w:bookmarkStart w:id="20" w:name="_Toc380766940"/>
      <w:r w:rsidRPr="00C40231">
        <w:rPr>
          <w:rFonts w:cs="Arial"/>
          <w:b/>
        </w:rPr>
        <w:t xml:space="preserve">Figura </w:t>
      </w:r>
      <w:bookmarkEnd w:id="19"/>
      <w:r>
        <w:rPr>
          <w:rFonts w:cs="Arial"/>
          <w:b/>
        </w:rPr>
        <w:t>12.</w:t>
      </w:r>
      <w:r w:rsidRPr="00E1656E">
        <w:rPr>
          <w:rFonts w:cs="Arial"/>
        </w:rPr>
        <w:t xml:space="preserve"> Propagação da trinca (</w:t>
      </w:r>
      <w:proofErr w:type="gramStart"/>
      <w:r w:rsidRPr="00E1656E">
        <w:rPr>
          <w:rFonts w:cs="Arial"/>
        </w:rPr>
        <w:t>4mm</w:t>
      </w:r>
      <w:proofErr w:type="gramEnd"/>
      <w:r w:rsidRPr="00E1656E">
        <w:rPr>
          <w:rFonts w:cs="Arial"/>
        </w:rPr>
        <w:t xml:space="preserve">) do corpo de prova 1, apresentando o comportamento de insuficiente delaminação para estudo da </w:t>
      </w:r>
      <w:r>
        <w:rPr>
          <w:rFonts w:cs="Arial"/>
        </w:rPr>
        <w:t>propagação</w:t>
      </w:r>
      <w:r w:rsidRPr="00E1656E">
        <w:rPr>
          <w:rFonts w:cs="Arial"/>
        </w:rPr>
        <w:t xml:space="preserve"> da fratura</w:t>
      </w:r>
      <w:bookmarkEnd w:id="20"/>
      <w:r>
        <w:rPr>
          <w:rFonts w:cs="Arial"/>
        </w:rPr>
        <w:t>.</w:t>
      </w:r>
    </w:p>
    <w:p w:rsidR="00BF05B6" w:rsidRDefault="00BF05B6" w:rsidP="00BF05B6">
      <w:pPr>
        <w:spacing w:after="120"/>
        <w:jc w:val="both"/>
      </w:pPr>
      <w:r w:rsidRPr="00A30F45">
        <w:lastRenderedPageBreak/>
        <w:t>A Tabela 2 apresenta os valores da força necessária para iniciar a propagação da trinca, bem como os resultados de energia crítica. Adicionalmente, estão apresentados o valor médio de G</w:t>
      </w:r>
      <w:r w:rsidRPr="00A30F45">
        <w:rPr>
          <w:vertAlign w:val="subscript"/>
        </w:rPr>
        <w:t>IIC</w:t>
      </w:r>
      <w:r w:rsidRPr="00A30F45">
        <w:t xml:space="preserve"> e o desvio padrão (Equação </w:t>
      </w:r>
      <w:proofErr w:type="gramStart"/>
      <w:r w:rsidRPr="00A30F45">
        <w:t>3</w:t>
      </w:r>
      <w:proofErr w:type="gramEnd"/>
      <w:r w:rsidRPr="00A30F45">
        <w:t>). O valor da energia crítica necessária para propagar a trinca em Modo II é de 770,72 J/m</w:t>
      </w:r>
      <w:r w:rsidRPr="00A30F45">
        <w:rPr>
          <w:vertAlign w:val="superscript"/>
        </w:rPr>
        <w:t>2</w:t>
      </w:r>
      <w:r w:rsidRPr="00A30F45">
        <w:t xml:space="preserve">, valor esperado quando comparado com os resultados obtidos por Sela </w:t>
      </w:r>
      <w:proofErr w:type="gramStart"/>
      <w:r w:rsidRPr="00A30F45">
        <w:t>et</w:t>
      </w:r>
      <w:proofErr w:type="gramEnd"/>
      <w:r w:rsidRPr="00A30F45">
        <w:t xml:space="preserve"> al [9], 518 J/m</w:t>
      </w:r>
      <w:r w:rsidRPr="00A30F45">
        <w:rPr>
          <w:vertAlign w:val="superscript"/>
        </w:rPr>
        <w:t>2</w:t>
      </w:r>
      <w:r w:rsidRPr="00A30F45">
        <w:t xml:space="preserve"> para 50%F.C., enquanto que o compósito estudado neste trabalho possui 57%. Esse fator aumenta a rigidez do compósito o que fez com que o resultado obtido seja maior. Salerno [5] obteve um valor de 837±235 J/m</w:t>
      </w:r>
      <w:r w:rsidRPr="00A30F45">
        <w:rPr>
          <w:vertAlign w:val="superscript"/>
        </w:rPr>
        <w:t>2</w:t>
      </w:r>
      <w:r w:rsidRPr="00A30F45">
        <w:t xml:space="preserve"> no compósito unidirecional 0°/90°, que é um resultado superior ao obtido </w:t>
      </w:r>
      <w:r w:rsidRPr="00E1656E">
        <w:t>de 770,72 J/m</w:t>
      </w:r>
      <w:r w:rsidRPr="00E1656E">
        <w:rPr>
          <w:vertAlign w:val="superscript"/>
        </w:rPr>
        <w:t>2</w:t>
      </w:r>
      <w:r w:rsidRPr="00E1656E">
        <w:t>, pois no compósito com reforço em tecido há cisalhamento entre as fibras horizontais com as fibras verticais, fazendo, portanto, com que o valor de G</w:t>
      </w:r>
      <w:r w:rsidRPr="00E1656E">
        <w:rPr>
          <w:vertAlign w:val="subscript"/>
        </w:rPr>
        <w:t>IIC</w:t>
      </w:r>
      <w:r w:rsidRPr="00E1656E">
        <w:t xml:space="preserve"> possa ser menor em compósitos reforçados com tecido do que nos unidirecionais. </w:t>
      </w:r>
    </w:p>
    <w:p w:rsidR="00BF05B6" w:rsidRPr="00680717" w:rsidRDefault="00BF05B6" w:rsidP="00BF05B6">
      <w:pPr>
        <w:jc w:val="center"/>
        <w:rPr>
          <w:color w:val="FF0000"/>
          <w:sz w:val="20"/>
          <w:szCs w:val="20"/>
        </w:rPr>
      </w:pPr>
      <w:r>
        <w:rPr>
          <w:b/>
          <w:sz w:val="20"/>
          <w:szCs w:val="20"/>
        </w:rPr>
        <w:t xml:space="preserve">Tabela 2. </w:t>
      </w:r>
      <w:r w:rsidRPr="00E1656E">
        <w:rPr>
          <w:sz w:val="20"/>
          <w:szCs w:val="20"/>
        </w:rPr>
        <w:t xml:space="preserve"> Dados de G</w:t>
      </w:r>
      <w:r w:rsidRPr="00E1656E">
        <w:rPr>
          <w:sz w:val="20"/>
          <w:szCs w:val="20"/>
          <w:vertAlign w:val="subscript"/>
        </w:rPr>
        <w:t>IIC</w:t>
      </w:r>
      <w:r>
        <w:rPr>
          <w:sz w:val="20"/>
          <w:szCs w:val="20"/>
          <w:vertAlign w:val="subscript"/>
        </w:rPr>
        <w:t xml:space="preserve"> </w:t>
      </w:r>
    </w:p>
    <w:p w:rsidR="00BF05B6" w:rsidRDefault="00BF05B6" w:rsidP="00BF05B6">
      <w:pPr>
        <w:jc w:val="center"/>
      </w:pPr>
      <w:r w:rsidRPr="00E1656E">
        <w:rPr>
          <w:noProof/>
        </w:rPr>
        <w:drawing>
          <wp:inline distT="0" distB="0" distL="0" distR="0" wp14:anchorId="70131839" wp14:editId="27953E0A">
            <wp:extent cx="2339162" cy="2166228"/>
            <wp:effectExtent l="0" t="0" r="4445" b="5715"/>
            <wp:docPr id="321" name="Image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1493" cy="2168387"/>
                    </a:xfrm>
                    <a:prstGeom prst="rect">
                      <a:avLst/>
                    </a:prstGeom>
                    <a:noFill/>
                    <a:ln>
                      <a:noFill/>
                    </a:ln>
                  </pic:spPr>
                </pic:pic>
              </a:graphicData>
            </a:graphic>
          </wp:inline>
        </w:drawing>
      </w:r>
    </w:p>
    <w:p w:rsidR="00BF05B6" w:rsidRDefault="00BF05B6" w:rsidP="00BF05B6">
      <w:pPr>
        <w:pStyle w:val="PargrafodaLista"/>
        <w:numPr>
          <w:ilvl w:val="1"/>
          <w:numId w:val="3"/>
        </w:numPr>
        <w:spacing w:before="120" w:after="120"/>
        <w:ind w:left="1077"/>
        <w:jc w:val="both"/>
        <w:outlineLvl w:val="1"/>
        <w:rPr>
          <w:b/>
        </w:rPr>
      </w:pPr>
      <w:bookmarkStart w:id="21" w:name="_Toc380767046"/>
      <w:r w:rsidRPr="00E1656E">
        <w:rPr>
          <w:b/>
        </w:rPr>
        <w:t>DCB (Double-</w:t>
      </w:r>
      <w:proofErr w:type="spellStart"/>
      <w:r w:rsidRPr="00E1656E">
        <w:rPr>
          <w:b/>
        </w:rPr>
        <w:t>cantilever</w:t>
      </w:r>
      <w:proofErr w:type="spellEnd"/>
      <w:r w:rsidRPr="00E1656E">
        <w:rPr>
          <w:b/>
        </w:rPr>
        <w:t xml:space="preserve"> </w:t>
      </w:r>
      <w:proofErr w:type="spellStart"/>
      <w:r w:rsidRPr="00E1656E">
        <w:rPr>
          <w:b/>
        </w:rPr>
        <w:t>Beam</w:t>
      </w:r>
      <w:proofErr w:type="spellEnd"/>
      <w:r w:rsidRPr="00E1656E">
        <w:rPr>
          <w:b/>
        </w:rPr>
        <w:t>)</w:t>
      </w:r>
      <w:bookmarkEnd w:id="21"/>
    </w:p>
    <w:p w:rsidR="00BF05B6" w:rsidRDefault="00BF05B6" w:rsidP="00BF05B6">
      <w:pPr>
        <w:spacing w:after="120"/>
        <w:jc w:val="both"/>
      </w:pPr>
      <w:r w:rsidRPr="00A30F45">
        <w:t>A Figura 13 mostra as curvas dos oito corpos de prova ensaiados. É possível observar que possuem o mesmo comportamento em relação ao ensaio, podendo assim caracterizar G</w:t>
      </w:r>
      <w:r w:rsidRPr="00A30F45">
        <w:rPr>
          <w:vertAlign w:val="subscript"/>
        </w:rPr>
        <w:t>IC</w:t>
      </w:r>
      <w:r w:rsidRPr="00A30F45">
        <w:t xml:space="preserve">. A </w:t>
      </w:r>
      <w:r w:rsidRPr="00A30F45">
        <w:fldChar w:fldCharType="begin"/>
      </w:r>
      <w:r w:rsidRPr="00A30F45">
        <w:instrText xml:space="preserve"> REF _Ref374660823 \h  \* MERGEFORMAT </w:instrText>
      </w:r>
      <w:r w:rsidRPr="00A30F45">
        <w:fldChar w:fldCharType="separate"/>
      </w:r>
      <w:r w:rsidRPr="00A30F45">
        <w:t xml:space="preserve">Figura </w:t>
      </w:r>
      <w:r w:rsidRPr="00A30F45">
        <w:fldChar w:fldCharType="end"/>
      </w:r>
      <w:r w:rsidRPr="00A30F45">
        <w:t xml:space="preserve">14 mostra o início e o final do ensaio do corpo de prova </w:t>
      </w:r>
      <w:proofErr w:type="gramStart"/>
      <w:r w:rsidRPr="00A30F45">
        <w:t>4</w:t>
      </w:r>
      <w:proofErr w:type="gramEnd"/>
      <w:r w:rsidRPr="00A30F45">
        <w:t xml:space="preserve">, demonstrando a propagação da trinca. Apesar de haver regiões onde a trinca propaga rapidamente (onde existe uma queda brusca de força), o compósito retorna à estabilidade na propagação. Isso significa que ainda não foi atingido um comprimento de trinca necessário que promova a propagação catastrófica, promovendo a completa ruptura do compósito. Os ensaios foram realizados com velocidade de abertura de </w:t>
      </w:r>
      <w:proofErr w:type="gramStart"/>
      <w:r w:rsidRPr="00A30F45">
        <w:t>2</w:t>
      </w:r>
      <w:proofErr w:type="gramEnd"/>
      <w:r w:rsidRPr="00A30F45">
        <w:t xml:space="preserve"> mm/s segundo norma ASTM D5528 [7].</w:t>
      </w:r>
      <w:r>
        <w:rPr>
          <w:color w:val="00B0F0"/>
        </w:rPr>
        <w:t xml:space="preserve"> </w:t>
      </w:r>
    </w:p>
    <w:p w:rsidR="00BF05B6" w:rsidRPr="00E1656E" w:rsidRDefault="00BF05B6" w:rsidP="00BF05B6">
      <w:pPr>
        <w:jc w:val="center"/>
      </w:pPr>
      <w:r>
        <w:rPr>
          <w:noProof/>
        </w:rPr>
        <w:drawing>
          <wp:inline distT="0" distB="0" distL="0" distR="0" wp14:anchorId="6E56B487" wp14:editId="0F589CC7">
            <wp:extent cx="3416300" cy="208177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924" cy="2084593"/>
                    </a:xfrm>
                    <a:prstGeom prst="rect">
                      <a:avLst/>
                    </a:prstGeom>
                    <a:noFill/>
                  </pic:spPr>
                </pic:pic>
              </a:graphicData>
            </a:graphic>
          </wp:inline>
        </w:drawing>
      </w:r>
    </w:p>
    <w:p w:rsidR="00BF05B6" w:rsidRPr="00A10443" w:rsidRDefault="00BF05B6" w:rsidP="00BF05B6">
      <w:pPr>
        <w:jc w:val="center"/>
        <w:rPr>
          <w:color w:val="FF0000"/>
          <w:sz w:val="20"/>
        </w:rPr>
      </w:pPr>
      <w:bookmarkStart w:id="22" w:name="_Ref374660807"/>
      <w:bookmarkStart w:id="23" w:name="_Toc380766950"/>
      <w:r w:rsidRPr="00C26D8C">
        <w:rPr>
          <w:b/>
          <w:sz w:val="20"/>
        </w:rPr>
        <w:t xml:space="preserve">Figura </w:t>
      </w:r>
      <w:bookmarkEnd w:id="22"/>
      <w:r w:rsidRPr="00C26D8C">
        <w:rPr>
          <w:b/>
          <w:sz w:val="20"/>
        </w:rPr>
        <w:t>1</w:t>
      </w:r>
      <w:r>
        <w:rPr>
          <w:b/>
          <w:sz w:val="20"/>
        </w:rPr>
        <w:t>3</w:t>
      </w:r>
      <w:r w:rsidRPr="00C26D8C">
        <w:rPr>
          <w:b/>
          <w:sz w:val="20"/>
        </w:rPr>
        <w:t>.</w:t>
      </w:r>
      <w:r w:rsidRPr="00C26D8C">
        <w:rPr>
          <w:sz w:val="20"/>
        </w:rPr>
        <w:t xml:space="preserve"> Curvas Força x deslocamento para os quatro corpos de prova obtida pelo ensaio DCB</w:t>
      </w:r>
      <w:bookmarkEnd w:id="23"/>
      <w:r>
        <w:rPr>
          <w:sz w:val="20"/>
        </w:rPr>
        <w:t xml:space="preserve">. </w:t>
      </w:r>
    </w:p>
    <w:p w:rsidR="00BF05B6" w:rsidRPr="00E1656E" w:rsidRDefault="00BF05B6" w:rsidP="00BF05B6">
      <w:pPr>
        <w:jc w:val="center"/>
      </w:pPr>
      <w:r w:rsidRPr="00E1656E">
        <w:rPr>
          <w:noProof/>
        </w:rPr>
        <w:lastRenderedPageBreak/>
        <w:drawing>
          <wp:inline distT="0" distB="0" distL="0" distR="0" wp14:anchorId="604D262E" wp14:editId="0ABE953F">
            <wp:extent cx="4742597" cy="2445769"/>
            <wp:effectExtent l="0" t="0" r="1270" b="0"/>
            <wp:docPr id="324" name="Image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984" cy="2456283"/>
                    </a:xfrm>
                    <a:prstGeom prst="rect">
                      <a:avLst/>
                    </a:prstGeom>
                    <a:noFill/>
                    <a:ln>
                      <a:noFill/>
                    </a:ln>
                  </pic:spPr>
                </pic:pic>
              </a:graphicData>
            </a:graphic>
          </wp:inline>
        </w:drawing>
      </w:r>
    </w:p>
    <w:p w:rsidR="00BF05B6" w:rsidRPr="00E1656E" w:rsidRDefault="00BF05B6" w:rsidP="00BF05B6">
      <w:pPr>
        <w:pStyle w:val="Legenda"/>
        <w:spacing w:after="0"/>
        <w:rPr>
          <w:rFonts w:cs="Arial"/>
        </w:rPr>
      </w:pPr>
      <w:bookmarkStart w:id="24" w:name="_Toc380766951"/>
      <w:r>
        <w:rPr>
          <w:rFonts w:cs="Arial"/>
          <w:b/>
        </w:rPr>
        <w:t>Figura 14.</w:t>
      </w:r>
      <w:r w:rsidRPr="00E1656E">
        <w:rPr>
          <w:rFonts w:cs="Arial"/>
        </w:rPr>
        <w:t xml:space="preserve"> </w:t>
      </w:r>
      <w:r>
        <w:rPr>
          <w:rFonts w:cs="Arial"/>
        </w:rPr>
        <w:t>Imagens</w:t>
      </w:r>
      <w:r w:rsidRPr="00E1656E">
        <w:rPr>
          <w:rFonts w:cs="Arial"/>
        </w:rPr>
        <w:t xml:space="preserve"> do corpo de prova </w:t>
      </w:r>
      <w:proofErr w:type="gramStart"/>
      <w:r w:rsidRPr="00E1656E">
        <w:rPr>
          <w:rFonts w:cs="Arial"/>
        </w:rPr>
        <w:t>4</w:t>
      </w:r>
      <w:proofErr w:type="gramEnd"/>
      <w:r w:rsidRPr="00E1656E">
        <w:rPr>
          <w:rFonts w:cs="Arial"/>
        </w:rPr>
        <w:t>, enfatizando o comprimento de propagação da trinca</w:t>
      </w:r>
      <w:bookmarkEnd w:id="24"/>
      <w:r>
        <w:rPr>
          <w:rFonts w:cs="Arial"/>
        </w:rPr>
        <w:t>.</w:t>
      </w:r>
    </w:p>
    <w:p w:rsidR="00BF05B6" w:rsidRPr="00C40231" w:rsidRDefault="00BF05B6" w:rsidP="00BF05B6">
      <w:pPr>
        <w:spacing w:before="120"/>
        <w:jc w:val="both"/>
      </w:pPr>
      <w:r>
        <w:t xml:space="preserve">A </w:t>
      </w:r>
      <w:r w:rsidRPr="00C95B37">
        <w:t xml:space="preserve">Figura 15 mostra os gráficos do logaritmo da Compliância pelo logaritmo do comprimento de trinca para a obtenção dos coeficientes </w:t>
      </w:r>
      <w:r w:rsidRPr="00C95B37">
        <w:rPr>
          <w:i/>
        </w:rPr>
        <w:t>n</w:t>
      </w:r>
      <w:r w:rsidRPr="00C95B37">
        <w:t xml:space="preserve"> e </w:t>
      </w:r>
      <w:r w:rsidRPr="00C95B37">
        <w:rPr>
          <w:i/>
        </w:rPr>
        <w:t>k</w:t>
      </w:r>
      <w:r w:rsidRPr="00C95B37">
        <w:t xml:space="preserve"> dos oito corpos de prova, que estão apresentados na Tabela 3, bem como </w:t>
      </w:r>
      <w:r>
        <w:t>os valores de força e G</w:t>
      </w:r>
      <w:r>
        <w:rPr>
          <w:vertAlign w:val="subscript"/>
        </w:rPr>
        <w:t>IC</w:t>
      </w:r>
      <w:r>
        <w:t>.</w:t>
      </w:r>
    </w:p>
    <w:p w:rsidR="00BF05B6" w:rsidRPr="00E1656E" w:rsidRDefault="00BF05B6" w:rsidP="00BF05B6">
      <w:pPr>
        <w:jc w:val="center"/>
      </w:pPr>
    </w:p>
    <w:p w:rsidR="00BF05B6" w:rsidRPr="00E1656E" w:rsidRDefault="00BF05B6" w:rsidP="00BF05B6">
      <w:pPr>
        <w:jc w:val="center"/>
      </w:pPr>
      <w:r>
        <w:rPr>
          <w:noProof/>
        </w:rPr>
        <w:drawing>
          <wp:inline distT="0" distB="0" distL="0" distR="0" wp14:anchorId="314963EF" wp14:editId="678B930D">
            <wp:extent cx="4181238" cy="2179929"/>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7353" cy="2183117"/>
                    </a:xfrm>
                    <a:prstGeom prst="rect">
                      <a:avLst/>
                    </a:prstGeom>
                    <a:noFill/>
                  </pic:spPr>
                </pic:pic>
              </a:graphicData>
            </a:graphic>
          </wp:inline>
        </w:drawing>
      </w:r>
    </w:p>
    <w:p w:rsidR="00BF05B6" w:rsidRPr="00E1656E" w:rsidRDefault="00BF05B6" w:rsidP="00BF05B6">
      <w:pPr>
        <w:pStyle w:val="Legenda"/>
        <w:spacing w:after="0"/>
        <w:rPr>
          <w:rFonts w:cs="Arial"/>
        </w:rPr>
      </w:pPr>
      <w:bookmarkStart w:id="25" w:name="_Toc380766953"/>
      <w:r w:rsidRPr="00C40231">
        <w:rPr>
          <w:rFonts w:cs="Arial"/>
          <w:b/>
        </w:rPr>
        <w:t xml:space="preserve">Figura </w:t>
      </w:r>
      <w:r>
        <w:rPr>
          <w:rFonts w:cs="Arial"/>
          <w:b/>
        </w:rPr>
        <w:t>15.</w:t>
      </w:r>
      <w:r w:rsidRPr="00E1656E">
        <w:rPr>
          <w:rFonts w:cs="Arial"/>
        </w:rPr>
        <w:t xml:space="preserve"> Gráfico log Compliância x log comprimento de trinca</w:t>
      </w:r>
      <w:bookmarkEnd w:id="25"/>
      <w:r>
        <w:rPr>
          <w:rFonts w:cs="Arial"/>
        </w:rPr>
        <w:t>.</w:t>
      </w:r>
    </w:p>
    <w:p w:rsidR="00BF05B6" w:rsidRPr="00680717" w:rsidRDefault="00BF05B6" w:rsidP="00BF05B6">
      <w:pPr>
        <w:spacing w:before="120"/>
        <w:jc w:val="center"/>
        <w:rPr>
          <w:color w:val="FF0000"/>
          <w:sz w:val="20"/>
          <w:szCs w:val="20"/>
          <w:vertAlign w:val="subscript"/>
        </w:rPr>
      </w:pPr>
      <w:r w:rsidRPr="00C40231">
        <w:rPr>
          <w:b/>
          <w:sz w:val="20"/>
          <w:szCs w:val="20"/>
        </w:rPr>
        <w:t xml:space="preserve">Tabela </w:t>
      </w:r>
      <w:r>
        <w:rPr>
          <w:b/>
          <w:sz w:val="20"/>
          <w:szCs w:val="20"/>
        </w:rPr>
        <w:t>3</w:t>
      </w:r>
      <w:r w:rsidRPr="00C40231">
        <w:rPr>
          <w:b/>
          <w:sz w:val="20"/>
          <w:szCs w:val="20"/>
        </w:rPr>
        <w:t>.</w:t>
      </w:r>
      <w:r>
        <w:rPr>
          <w:sz w:val="20"/>
          <w:szCs w:val="20"/>
        </w:rPr>
        <w:t xml:space="preserve"> </w:t>
      </w:r>
      <w:proofErr w:type="gramStart"/>
      <w:r w:rsidRPr="00E1656E">
        <w:rPr>
          <w:sz w:val="20"/>
          <w:szCs w:val="20"/>
        </w:rPr>
        <w:t>valores</w:t>
      </w:r>
      <w:proofErr w:type="gramEnd"/>
      <w:r w:rsidRPr="00E1656E">
        <w:rPr>
          <w:sz w:val="20"/>
          <w:szCs w:val="20"/>
        </w:rPr>
        <w:t xml:space="preserve"> obtidos de </w:t>
      </w:r>
      <w:r w:rsidRPr="00E1656E">
        <w:rPr>
          <w:i/>
          <w:sz w:val="20"/>
          <w:szCs w:val="20"/>
        </w:rPr>
        <w:t>n</w:t>
      </w:r>
      <w:r w:rsidRPr="00E1656E">
        <w:rPr>
          <w:sz w:val="20"/>
          <w:szCs w:val="20"/>
        </w:rPr>
        <w:t xml:space="preserve"> e </w:t>
      </w:r>
      <w:r w:rsidRPr="00E1656E">
        <w:rPr>
          <w:i/>
          <w:sz w:val="20"/>
          <w:szCs w:val="20"/>
        </w:rPr>
        <w:t>k</w:t>
      </w:r>
      <w:r>
        <w:rPr>
          <w:sz w:val="20"/>
          <w:szCs w:val="20"/>
        </w:rPr>
        <w:t>, força e G</w:t>
      </w:r>
      <w:r>
        <w:rPr>
          <w:sz w:val="20"/>
          <w:szCs w:val="20"/>
          <w:vertAlign w:val="subscript"/>
        </w:rPr>
        <w:t xml:space="preserve">IC </w:t>
      </w:r>
    </w:p>
    <w:p w:rsidR="00BF05B6" w:rsidRDefault="00BF05B6" w:rsidP="00BF05B6">
      <w:pPr>
        <w:jc w:val="center"/>
        <w:rPr>
          <w:sz w:val="20"/>
          <w:szCs w:val="20"/>
        </w:rPr>
      </w:pPr>
      <w:r w:rsidRPr="00FD01CF">
        <w:rPr>
          <w:noProof/>
        </w:rPr>
        <w:drawing>
          <wp:inline distT="0" distB="0" distL="0" distR="0" wp14:anchorId="45206346" wp14:editId="068D546B">
            <wp:extent cx="3725839" cy="1854676"/>
            <wp:effectExtent l="0" t="0" r="825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5839" cy="1854676"/>
                    </a:xfrm>
                    <a:prstGeom prst="rect">
                      <a:avLst/>
                    </a:prstGeom>
                    <a:noFill/>
                    <a:ln>
                      <a:noFill/>
                    </a:ln>
                  </pic:spPr>
                </pic:pic>
              </a:graphicData>
            </a:graphic>
          </wp:inline>
        </w:drawing>
      </w:r>
    </w:p>
    <w:p w:rsidR="00BF05B6" w:rsidRDefault="00BF05B6" w:rsidP="00BF05B6">
      <w:pPr>
        <w:jc w:val="center"/>
        <w:rPr>
          <w:sz w:val="20"/>
          <w:szCs w:val="20"/>
        </w:rPr>
      </w:pPr>
    </w:p>
    <w:p w:rsidR="00BF05B6" w:rsidRDefault="00BF05B6" w:rsidP="00BF05B6">
      <w:pPr>
        <w:jc w:val="both"/>
      </w:pPr>
      <w:r>
        <w:t>O</w:t>
      </w:r>
      <w:r w:rsidRPr="00E1656E">
        <w:t xml:space="preserve"> valor obtido </w:t>
      </w:r>
      <w:r>
        <w:t>de G</w:t>
      </w:r>
      <w:r w:rsidRPr="001E5CBF">
        <w:rPr>
          <w:vertAlign w:val="subscript"/>
        </w:rPr>
        <w:t>IC</w:t>
      </w:r>
      <w:r>
        <w:t xml:space="preserve"> </w:t>
      </w:r>
      <w:r w:rsidRPr="00E1656E">
        <w:t>é esperado de acordo com a literatura</w:t>
      </w:r>
      <w:r>
        <w:t>, em</w:t>
      </w:r>
      <w:r w:rsidRPr="00E1656E">
        <w:t xml:space="preserve"> </w:t>
      </w:r>
      <w:r w:rsidRPr="00C95B37">
        <w:t xml:space="preserve">Gill </w:t>
      </w:r>
      <w:proofErr w:type="gramStart"/>
      <w:r w:rsidRPr="00C95B37">
        <w:t>et</w:t>
      </w:r>
      <w:proofErr w:type="gramEnd"/>
      <w:r w:rsidRPr="00C95B37">
        <w:t xml:space="preserve"> al [6], para um compósito com 54,4%F.C., obteve um valor de 525 J/m</w:t>
      </w:r>
      <w:r w:rsidRPr="00C95B37">
        <w:rPr>
          <w:vertAlign w:val="superscript"/>
        </w:rPr>
        <w:t>2</w:t>
      </w:r>
      <w:r w:rsidRPr="00C95B37">
        <w:t xml:space="preserve">. Valor inferior aos encontrados no ensaio ENF, na Tabela 2. Esse fato é devido </w:t>
      </w:r>
      <w:proofErr w:type="gramStart"/>
      <w:r w:rsidRPr="00C95B37">
        <w:t>a</w:t>
      </w:r>
      <w:proofErr w:type="gramEnd"/>
      <w:r w:rsidRPr="00C95B37">
        <w:t xml:space="preserve"> existência do campo de compressão no ENF, enquanto que no DCB se trata de tração direta</w:t>
      </w:r>
      <w:r w:rsidRPr="00E1656E">
        <w:t xml:space="preserve">, o que facilita significativamente a abertura da trinca, propagando-a com maior facilidade, </w:t>
      </w:r>
      <w:r w:rsidRPr="00E1656E">
        <w:lastRenderedPageBreak/>
        <w:t>fato esse comprovado quando se observa o comprimento de propagação da trinca dos corpos de prova dos ensaios DCB e ENF.</w:t>
      </w:r>
    </w:p>
    <w:p w:rsidR="00BF05B6" w:rsidRDefault="00BF05B6" w:rsidP="00BF05B6">
      <w:pPr>
        <w:spacing w:after="120"/>
        <w:jc w:val="both"/>
      </w:pPr>
      <w:r w:rsidRPr="00C95B37">
        <w:t xml:space="preserve">A </w:t>
      </w:r>
      <w:r w:rsidRPr="00C95B37">
        <w:fldChar w:fldCharType="begin"/>
      </w:r>
      <w:r w:rsidRPr="00C95B37">
        <w:instrText xml:space="preserve"> REF _Ref380748818 \h </w:instrText>
      </w:r>
      <w:r w:rsidRPr="00C95B37">
        <w:fldChar w:fldCharType="separate"/>
      </w:r>
      <w:r w:rsidRPr="00C95B37">
        <w:t xml:space="preserve">Figura </w:t>
      </w:r>
      <w:r w:rsidRPr="00C95B37">
        <w:fldChar w:fldCharType="end"/>
      </w:r>
      <w:r w:rsidRPr="00C95B37">
        <w:t>16 apresenta o comportamento da energia de abertura de trinca em função do crescimento da trinca. Observa-se dois comportamentos diferentes, sendo um que a energia de abertura de trinca diminui com o crescimento da trinca e o segundo em que o G</w:t>
      </w:r>
      <w:r w:rsidRPr="00C95B37">
        <w:rPr>
          <w:vertAlign w:val="subscript"/>
        </w:rPr>
        <w:t>I</w:t>
      </w:r>
      <w:r w:rsidRPr="00C95B37">
        <w:t xml:space="preserve"> aumenta com o crescimento da trinca, semelhante ao comportamento apresentado por Gill </w:t>
      </w:r>
      <w:proofErr w:type="gramStart"/>
      <w:r w:rsidRPr="00C95B37">
        <w:t>et</w:t>
      </w:r>
      <w:proofErr w:type="gramEnd"/>
      <w:r w:rsidRPr="00C95B37">
        <w:t xml:space="preserve"> al [6]. De acordo com Gill </w:t>
      </w:r>
      <w:proofErr w:type="gramStart"/>
      <w:r w:rsidRPr="00C95B37">
        <w:t>et</w:t>
      </w:r>
      <w:proofErr w:type="gramEnd"/>
      <w:r w:rsidRPr="00C95B37">
        <w:t xml:space="preserve"> al [6], a trinca que se propaga na direção transversal à abertura de trinca, tem um aumento de 60% da força necessária para propagar a trinca na direção da abertura. Isso pode ser observado nas imagens feitas por MEV. A </w:t>
      </w:r>
      <w:r w:rsidRPr="00C95B37">
        <w:fldChar w:fldCharType="begin"/>
      </w:r>
      <w:r w:rsidRPr="00C95B37">
        <w:instrText xml:space="preserve"> REF _Ref382411263 \h </w:instrText>
      </w:r>
      <w:r w:rsidRPr="00C95B37">
        <w:fldChar w:fldCharType="separate"/>
      </w:r>
      <w:r w:rsidRPr="00C95B37">
        <w:t xml:space="preserve">Figura </w:t>
      </w:r>
      <w:r w:rsidRPr="00C95B37">
        <w:rPr>
          <w:noProof/>
        </w:rPr>
        <w:t>17a</w:t>
      </w:r>
      <w:r w:rsidRPr="00C95B37">
        <w:fldChar w:fldCharType="end"/>
      </w:r>
      <w:r w:rsidRPr="00C95B37">
        <w:t xml:space="preserve"> apresenta a imagem de MEV feita para o corpo de prova </w:t>
      </w:r>
      <w:proofErr w:type="gramStart"/>
      <w:r w:rsidRPr="00C95B37">
        <w:t>4</w:t>
      </w:r>
      <w:proofErr w:type="gramEnd"/>
      <w:r w:rsidRPr="00C95B37">
        <w:t xml:space="preserve">, onde de acordo com a Figura 16, observa-se a diminuição da energia de abertura de trinca com o crescimento da trinca. As marcas de fratura na matriz epóxi mostram que o sentido da propagação da trinca é o mesmo do sentido de abertura da trinca. Na </w:t>
      </w:r>
      <w:r w:rsidRPr="00C95B37">
        <w:fldChar w:fldCharType="begin"/>
      </w:r>
      <w:r w:rsidRPr="00C95B37">
        <w:instrText xml:space="preserve"> REF _Ref382411354 \h </w:instrText>
      </w:r>
      <w:r w:rsidRPr="00C95B37">
        <w:fldChar w:fldCharType="separate"/>
      </w:r>
      <w:r w:rsidRPr="00C95B37">
        <w:t xml:space="preserve">Figura </w:t>
      </w:r>
      <w:r w:rsidRPr="00C95B37">
        <w:rPr>
          <w:noProof/>
        </w:rPr>
        <w:t>17b</w:t>
      </w:r>
      <w:r w:rsidRPr="00C95B37">
        <w:fldChar w:fldCharType="end"/>
      </w:r>
      <w:r w:rsidRPr="00C95B37">
        <w:t xml:space="preserve">, onde mostra o corpo de prova </w:t>
      </w:r>
      <w:proofErr w:type="gramStart"/>
      <w:r w:rsidRPr="00C95B37">
        <w:t>1</w:t>
      </w:r>
      <w:proofErr w:type="gramEnd"/>
      <w:r w:rsidRPr="00C95B37">
        <w:t>, no qual G</w:t>
      </w:r>
      <w:r w:rsidRPr="00C95B37">
        <w:rPr>
          <w:vertAlign w:val="subscript"/>
        </w:rPr>
        <w:t>I</w:t>
      </w:r>
      <w:r w:rsidRPr="00C95B37">
        <w:t xml:space="preserve"> aumenta conforme ocorre o crescimento da trinca, pode-se observar que em algumas regiões existem marcas de propagação no sentido transversal a abertura de trinca, no qual a propagação transversal pode acontecer por que a energia necessária para atravessar uma fibra na transversal é maior do que acompanhar a direção dessa fibra [6]. Esse comportamento está apresentado na </w:t>
      </w:r>
      <w:r w:rsidRPr="00C95B37">
        <w:fldChar w:fldCharType="begin"/>
      </w:r>
      <w:r w:rsidRPr="00C95B37">
        <w:instrText xml:space="preserve"> REF _Ref382411354 \h </w:instrText>
      </w:r>
      <w:r w:rsidRPr="00C95B37">
        <w:fldChar w:fldCharType="separate"/>
      </w:r>
      <w:r w:rsidRPr="00C95B37">
        <w:t xml:space="preserve">Figura </w:t>
      </w:r>
      <w:r w:rsidRPr="00C95B37">
        <w:rPr>
          <w:noProof/>
        </w:rPr>
        <w:t>17b,</w:t>
      </w:r>
      <w:r w:rsidRPr="00C95B37">
        <w:fldChar w:fldCharType="end"/>
      </w:r>
      <w:r w:rsidRPr="00C95B37">
        <w:t xml:space="preserve"> onde a mudança da direção da propagação está exatamente no entrelaçamento </w:t>
      </w:r>
      <w:r>
        <w:t>das fibras, ou seja, onde há a mudança de direção.</w:t>
      </w:r>
    </w:p>
    <w:p w:rsidR="00BF05B6" w:rsidRDefault="00BF05B6" w:rsidP="00BF05B6">
      <w:pPr>
        <w:jc w:val="center"/>
      </w:pPr>
      <w:r>
        <w:rPr>
          <w:noProof/>
        </w:rPr>
        <w:drawing>
          <wp:inline distT="0" distB="0" distL="0" distR="0" wp14:anchorId="350299DA" wp14:editId="3FD51F21">
            <wp:extent cx="3686175" cy="2300076"/>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2131" cy="2303793"/>
                    </a:xfrm>
                    <a:prstGeom prst="rect">
                      <a:avLst/>
                    </a:prstGeom>
                    <a:noFill/>
                  </pic:spPr>
                </pic:pic>
              </a:graphicData>
            </a:graphic>
          </wp:inline>
        </w:drawing>
      </w:r>
    </w:p>
    <w:p w:rsidR="00BF05B6" w:rsidRPr="000D4EAA" w:rsidRDefault="00BF05B6" w:rsidP="00BF05B6">
      <w:pPr>
        <w:pStyle w:val="Legenda"/>
        <w:spacing w:after="120"/>
      </w:pPr>
      <w:bookmarkStart w:id="26" w:name="_Ref380748818"/>
      <w:bookmarkStart w:id="27" w:name="_Toc380766961"/>
      <w:r w:rsidRPr="004D5078">
        <w:rPr>
          <w:rFonts w:cs="Arial"/>
          <w:b/>
        </w:rPr>
        <w:t xml:space="preserve">Figura </w:t>
      </w:r>
      <w:bookmarkEnd w:id="26"/>
      <w:r w:rsidRPr="004D5078">
        <w:rPr>
          <w:rFonts w:cs="Arial"/>
          <w:b/>
        </w:rPr>
        <w:t>1</w:t>
      </w:r>
      <w:r>
        <w:rPr>
          <w:rFonts w:cs="Arial"/>
          <w:b/>
        </w:rPr>
        <w:t>6</w:t>
      </w:r>
      <w:r w:rsidRPr="004D5078">
        <w:rPr>
          <w:rFonts w:cs="Arial"/>
          <w:b/>
        </w:rPr>
        <w:t>.</w:t>
      </w:r>
      <w:r w:rsidRPr="004D5078">
        <w:rPr>
          <w:rFonts w:cs="Arial"/>
        </w:rPr>
        <w:t xml:space="preserve"> Gráfico G</w:t>
      </w:r>
      <w:r w:rsidRPr="004D5078">
        <w:rPr>
          <w:rFonts w:cs="Arial"/>
          <w:vertAlign w:val="subscript"/>
        </w:rPr>
        <w:t>I</w:t>
      </w:r>
      <w:r w:rsidRPr="004D5078">
        <w:rPr>
          <w:rFonts w:cs="Arial"/>
        </w:rPr>
        <w:t xml:space="preserve"> x crescimento da trinca mostrando os dois comportamentos obtidos</w:t>
      </w:r>
      <w:bookmarkEnd w:id="27"/>
      <w:r>
        <w:rPr>
          <w:rFonts w:cs="Arial"/>
        </w:rPr>
        <w:t>.</w:t>
      </w:r>
    </w:p>
    <w:p w:rsidR="00BF05B6" w:rsidRDefault="00BF05B6" w:rsidP="00BF05B6">
      <w:pPr>
        <w:jc w:val="center"/>
      </w:pPr>
      <w:r>
        <w:rPr>
          <w:noProof/>
        </w:rPr>
        <w:drawing>
          <wp:inline distT="0" distB="0" distL="0" distR="0" wp14:anchorId="5B244402" wp14:editId="1951DADE">
            <wp:extent cx="5478839" cy="2044700"/>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2274" cy="2053446"/>
                    </a:xfrm>
                    <a:prstGeom prst="rect">
                      <a:avLst/>
                    </a:prstGeom>
                    <a:noFill/>
                    <a:ln>
                      <a:noFill/>
                    </a:ln>
                  </pic:spPr>
                </pic:pic>
              </a:graphicData>
            </a:graphic>
          </wp:inline>
        </w:drawing>
      </w:r>
    </w:p>
    <w:p w:rsidR="00BF05B6" w:rsidRPr="00893421" w:rsidRDefault="00BF05B6" w:rsidP="00BF05B6">
      <w:pPr>
        <w:pStyle w:val="Legenda"/>
        <w:spacing w:after="0"/>
        <w:rPr>
          <w:rFonts w:cs="Arial"/>
        </w:rPr>
      </w:pPr>
      <w:bookmarkStart w:id="28" w:name="_Ref382411354"/>
      <w:bookmarkStart w:id="29" w:name="_Toc380766963"/>
      <w:r w:rsidRPr="00893421">
        <w:rPr>
          <w:rFonts w:cs="Arial"/>
          <w:b/>
        </w:rPr>
        <w:t xml:space="preserve">Figura </w:t>
      </w:r>
      <w:bookmarkEnd w:id="28"/>
      <w:r w:rsidRPr="00893421">
        <w:rPr>
          <w:rFonts w:cs="Arial"/>
          <w:b/>
        </w:rPr>
        <w:t>1</w:t>
      </w:r>
      <w:r>
        <w:rPr>
          <w:rFonts w:cs="Arial"/>
          <w:b/>
        </w:rPr>
        <w:t>7</w:t>
      </w:r>
      <w:r w:rsidRPr="00893421">
        <w:rPr>
          <w:rFonts w:cs="Arial"/>
          <w:b/>
        </w:rPr>
        <w:t>.</w:t>
      </w:r>
      <w:r w:rsidRPr="00893421">
        <w:rPr>
          <w:rFonts w:cs="Arial"/>
        </w:rPr>
        <w:t xml:space="preserve"> Imagem de MEV do corpo de prova </w:t>
      </w:r>
      <w:proofErr w:type="gramStart"/>
      <w:r w:rsidRPr="00893421">
        <w:rPr>
          <w:rFonts w:cs="Arial"/>
        </w:rPr>
        <w:t>1</w:t>
      </w:r>
      <w:proofErr w:type="gramEnd"/>
      <w:r w:rsidRPr="00893421">
        <w:rPr>
          <w:rFonts w:cs="Arial"/>
        </w:rPr>
        <w:t>(a) e 4 (b), enfatizando as marcas de propagação.</w:t>
      </w:r>
      <w:bookmarkEnd w:id="29"/>
    </w:p>
    <w:p w:rsidR="00BF05B6" w:rsidRDefault="00BF05B6" w:rsidP="00BF05B6">
      <w:pPr>
        <w:spacing w:before="120" w:after="120"/>
        <w:jc w:val="both"/>
      </w:pPr>
      <w:r w:rsidRPr="00C95B37">
        <w:lastRenderedPageBreak/>
        <w:t xml:space="preserve">A </w:t>
      </w:r>
      <w:r w:rsidRPr="00C95B37">
        <w:fldChar w:fldCharType="begin"/>
      </w:r>
      <w:r w:rsidRPr="00C95B37">
        <w:instrText xml:space="preserve"> REF _Ref380759030 \h  \* MERGEFORMAT </w:instrText>
      </w:r>
      <w:r w:rsidRPr="00C95B37">
        <w:fldChar w:fldCharType="separate"/>
      </w:r>
      <w:r w:rsidRPr="00C95B37">
        <w:t>Figura</w:t>
      </w:r>
      <w:r w:rsidRPr="00C95B37">
        <w:fldChar w:fldCharType="end"/>
      </w:r>
      <w:r w:rsidRPr="00C95B37">
        <w:t xml:space="preserve"> 18a mostra uma imagem de MEV da região do final do inserto e começo da fratura. É possível observar a </w:t>
      </w:r>
      <w:proofErr w:type="spellStart"/>
      <w:r w:rsidRPr="00C95B37">
        <w:t>planicidade</w:t>
      </w:r>
      <w:proofErr w:type="spellEnd"/>
      <w:r w:rsidRPr="00C95B37">
        <w:t xml:space="preserve"> da matriz na região do inserto, enquanto que a região da fratura há arrancamento da fibra, ruptura da matriz, entre outras. Demonstra que a fabricação do inserto atendeu a descrição da norma. Adicionalmente, observa-se existência de bolhas na superfície da fratura do compósito que mostra que a fabricação manual do compósito não foi apropriada, podendo levar a danos. O fato de essas bolhas existirem pode estar relacionado com a pressão insuficiente gerada pela bomba de vácuo, fazendo com que nem todo ar seja eliminado no momento da cura. Na Figura 18b é possível observar que além da fratura da matriz e da delaminação, há fratura das </w:t>
      </w:r>
      <w:r w:rsidRPr="001545CD">
        <w:t>fibras</w:t>
      </w:r>
      <w:r>
        <w:t xml:space="preserve"> e descolamento da fibra em relação à matriz durante a delaminação</w:t>
      </w:r>
      <w:r w:rsidRPr="001545CD">
        <w:t xml:space="preserve">. </w:t>
      </w:r>
    </w:p>
    <w:p w:rsidR="00BF05B6" w:rsidRPr="001545CD" w:rsidRDefault="00BF05B6" w:rsidP="00BF05B6">
      <w:pPr>
        <w:jc w:val="center"/>
      </w:pPr>
      <w:r w:rsidRPr="001545CD">
        <w:rPr>
          <w:noProof/>
        </w:rPr>
        <w:drawing>
          <wp:inline distT="0" distB="0" distL="0" distR="0" wp14:anchorId="5A133EC2" wp14:editId="2F5B813A">
            <wp:extent cx="4667250" cy="1869991"/>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1869991"/>
                    </a:xfrm>
                    <a:prstGeom prst="rect">
                      <a:avLst/>
                    </a:prstGeom>
                    <a:noFill/>
                    <a:ln>
                      <a:noFill/>
                    </a:ln>
                  </pic:spPr>
                </pic:pic>
              </a:graphicData>
            </a:graphic>
          </wp:inline>
        </w:drawing>
      </w:r>
    </w:p>
    <w:p w:rsidR="00BF05B6" w:rsidRPr="00AC26E3" w:rsidRDefault="00BF05B6" w:rsidP="00BF05B6">
      <w:pPr>
        <w:pStyle w:val="Legenda"/>
        <w:spacing w:after="0"/>
        <w:rPr>
          <w:rFonts w:cs="Arial"/>
          <w:color w:val="FF0000"/>
          <w:szCs w:val="24"/>
        </w:rPr>
      </w:pPr>
      <w:bookmarkStart w:id="30" w:name="_Toc380766964"/>
      <w:r w:rsidRPr="001545CD">
        <w:rPr>
          <w:rFonts w:cs="Arial"/>
          <w:b/>
          <w:szCs w:val="24"/>
        </w:rPr>
        <w:t>Figura 2</w:t>
      </w:r>
      <w:r>
        <w:rPr>
          <w:rFonts w:cs="Arial"/>
          <w:b/>
          <w:szCs w:val="24"/>
        </w:rPr>
        <w:t>1</w:t>
      </w:r>
      <w:r w:rsidRPr="001545CD">
        <w:rPr>
          <w:rFonts w:cs="Arial"/>
          <w:b/>
          <w:szCs w:val="24"/>
        </w:rPr>
        <w:t>.</w:t>
      </w:r>
      <w:r w:rsidRPr="001545CD">
        <w:rPr>
          <w:rFonts w:cs="Arial"/>
          <w:szCs w:val="24"/>
        </w:rPr>
        <w:t xml:space="preserve"> Imagem de MEV enfatizando o final do inserto</w:t>
      </w:r>
      <w:r>
        <w:rPr>
          <w:rFonts w:cs="Arial"/>
          <w:szCs w:val="24"/>
        </w:rPr>
        <w:t xml:space="preserve"> (a) e fratura das fibras</w:t>
      </w:r>
      <w:bookmarkEnd w:id="30"/>
      <w:r>
        <w:rPr>
          <w:rFonts w:cs="Arial"/>
          <w:szCs w:val="24"/>
        </w:rPr>
        <w:t>.</w:t>
      </w:r>
    </w:p>
    <w:p w:rsidR="00BF05B6" w:rsidRPr="00C26D8C" w:rsidRDefault="00BF05B6" w:rsidP="00BF05B6">
      <w:pPr>
        <w:suppressAutoHyphens/>
        <w:spacing w:before="120"/>
        <w:contextualSpacing/>
        <w:jc w:val="both"/>
        <w:rPr>
          <w:b/>
        </w:rPr>
      </w:pPr>
      <w:proofErr w:type="gramStart"/>
      <w:r w:rsidRPr="000C0844">
        <w:rPr>
          <w:b/>
        </w:rPr>
        <w:t>4</w:t>
      </w:r>
      <w:proofErr w:type="gramEnd"/>
      <w:r w:rsidRPr="000C0844">
        <w:rPr>
          <w:b/>
        </w:rPr>
        <w:t xml:space="preserve"> CONCLUS</w:t>
      </w:r>
      <w:r>
        <w:rPr>
          <w:b/>
        </w:rPr>
        <w:t>ÕES</w:t>
      </w:r>
    </w:p>
    <w:p w:rsidR="00BF05B6" w:rsidRPr="00C13134" w:rsidRDefault="00BF05B6" w:rsidP="00BF05B6">
      <w:pPr>
        <w:pStyle w:val="NormalWeb"/>
        <w:shd w:val="clear" w:color="auto" w:fill="FFFFFF"/>
        <w:spacing w:before="0" w:beforeAutospacing="0" w:after="0" w:afterAutospacing="0"/>
        <w:jc w:val="both"/>
        <w:rPr>
          <w:rFonts w:ascii="Arial" w:hAnsi="Arial" w:cs="Arial"/>
          <w:color w:val="000000"/>
        </w:rPr>
      </w:pPr>
      <w:r w:rsidRPr="00C13134">
        <w:rPr>
          <w:rFonts w:ascii="Arial" w:hAnsi="Arial" w:cs="Arial"/>
          <w:color w:val="000000"/>
        </w:rPr>
        <w:t xml:space="preserve">Pode-se concluir que é viável a fabricação desse compósito, inclusive com o inserto. Porém, a presença de bolhas no </w:t>
      </w:r>
      <w:proofErr w:type="gramStart"/>
      <w:r w:rsidRPr="00C13134">
        <w:rPr>
          <w:rFonts w:ascii="Arial" w:hAnsi="Arial" w:cs="Arial"/>
          <w:color w:val="000000"/>
        </w:rPr>
        <w:t>compósito mostra</w:t>
      </w:r>
      <w:proofErr w:type="gramEnd"/>
      <w:r w:rsidRPr="00C13134">
        <w:rPr>
          <w:rFonts w:ascii="Arial" w:hAnsi="Arial" w:cs="Arial"/>
          <w:color w:val="000000"/>
        </w:rPr>
        <w:t xml:space="preserve"> que houve falha na preparação, devido a baixa pressão da bomba de vácuo. O corte com o jato d’água foi eficiente para manter a integridade das extremidades mantendo boa qualidade dimensional, sem introduzir defeitos.</w:t>
      </w:r>
    </w:p>
    <w:p w:rsidR="00BF05B6" w:rsidRPr="00C13134" w:rsidRDefault="00BF05B6" w:rsidP="00BF05B6">
      <w:pPr>
        <w:pStyle w:val="NormalWeb"/>
        <w:shd w:val="clear" w:color="auto" w:fill="FFFFFF"/>
        <w:spacing w:before="0" w:beforeAutospacing="0" w:after="0" w:afterAutospacing="0"/>
        <w:jc w:val="both"/>
        <w:rPr>
          <w:rFonts w:ascii="Arial" w:hAnsi="Arial" w:cs="Arial"/>
        </w:rPr>
      </w:pPr>
      <w:r w:rsidRPr="00C13134">
        <w:rPr>
          <w:rFonts w:ascii="Arial" w:hAnsi="Arial" w:cs="Arial"/>
        </w:rPr>
        <w:t xml:space="preserve">O inserto atendeu perfeitamente as exigências da </w:t>
      </w:r>
      <w:proofErr w:type="spellStart"/>
      <w:r w:rsidRPr="00C13134">
        <w:rPr>
          <w:rFonts w:ascii="Arial" w:hAnsi="Arial" w:cs="Arial"/>
        </w:rPr>
        <w:t>pré</w:t>
      </w:r>
      <w:proofErr w:type="spellEnd"/>
      <w:r w:rsidRPr="00C13134">
        <w:rPr>
          <w:rFonts w:ascii="Arial" w:hAnsi="Arial" w:cs="Arial"/>
        </w:rPr>
        <w:t>-trinca sem danificar ou contaminar o material e evitou a aderência entre as superfícies de cada braço de material compósito.</w:t>
      </w:r>
    </w:p>
    <w:p w:rsidR="00BF05B6" w:rsidRPr="00C13134" w:rsidRDefault="00BF05B6" w:rsidP="00BF05B6">
      <w:pPr>
        <w:pStyle w:val="NormalWeb"/>
        <w:shd w:val="clear" w:color="auto" w:fill="FFFFFF"/>
        <w:spacing w:before="0" w:beforeAutospacing="0" w:after="0" w:afterAutospacing="0"/>
        <w:jc w:val="both"/>
        <w:rPr>
          <w:rFonts w:ascii="Arial" w:hAnsi="Arial" w:cs="Arial"/>
        </w:rPr>
      </w:pPr>
      <w:r w:rsidRPr="00C13134">
        <w:rPr>
          <w:rFonts w:ascii="Arial" w:hAnsi="Arial" w:cs="Arial"/>
        </w:rPr>
        <w:t xml:space="preserve">A densidade do compósito, bem como a porcentagem de fibra, </w:t>
      </w:r>
      <w:proofErr w:type="gramStart"/>
      <w:r w:rsidRPr="00C13134">
        <w:rPr>
          <w:rFonts w:ascii="Arial" w:hAnsi="Arial" w:cs="Arial"/>
        </w:rPr>
        <w:t>leva</w:t>
      </w:r>
      <w:r>
        <w:rPr>
          <w:rFonts w:ascii="Arial" w:hAnsi="Arial" w:cs="Arial"/>
        </w:rPr>
        <w:t>m</w:t>
      </w:r>
      <w:proofErr w:type="gramEnd"/>
      <w:r w:rsidRPr="00C13134">
        <w:rPr>
          <w:rFonts w:ascii="Arial" w:hAnsi="Arial" w:cs="Arial"/>
        </w:rPr>
        <w:t xml:space="preserve"> o compósito a apresentar um comportamento rígido. Comportamento esse verificado pelas propriedades obtidas em tração e por MEV, onde se observa propagação frágil da trinca.</w:t>
      </w:r>
    </w:p>
    <w:p w:rsidR="00BF05B6" w:rsidRPr="00C13134" w:rsidRDefault="00BF05B6" w:rsidP="00BF05B6">
      <w:pPr>
        <w:pStyle w:val="NormalWeb"/>
        <w:shd w:val="clear" w:color="auto" w:fill="FFFFFF"/>
        <w:spacing w:before="0" w:beforeAutospacing="0" w:after="0" w:afterAutospacing="0"/>
        <w:jc w:val="both"/>
        <w:rPr>
          <w:rFonts w:ascii="Arial" w:hAnsi="Arial" w:cs="Arial"/>
        </w:rPr>
      </w:pPr>
      <w:r w:rsidRPr="00C13134">
        <w:rPr>
          <w:rFonts w:ascii="Arial" w:hAnsi="Arial" w:cs="Arial"/>
        </w:rPr>
        <w:t xml:space="preserve">Os valores de </w:t>
      </w:r>
      <w:r w:rsidRPr="00A30F45">
        <w:rPr>
          <w:rFonts w:ascii="Arial" w:hAnsi="Arial" w:cs="Arial"/>
        </w:rPr>
        <w:t>G</w:t>
      </w:r>
      <w:r w:rsidRPr="00A30F45">
        <w:rPr>
          <w:rFonts w:ascii="Arial" w:hAnsi="Arial" w:cs="Arial"/>
          <w:vertAlign w:val="subscript"/>
        </w:rPr>
        <w:t xml:space="preserve">IC </w:t>
      </w:r>
      <w:r w:rsidRPr="00A30F45">
        <w:rPr>
          <w:rFonts w:ascii="Arial" w:hAnsi="Arial" w:cs="Arial"/>
        </w:rPr>
        <w:t>(558,528 J/m</w:t>
      </w:r>
      <w:r w:rsidRPr="00A30F45">
        <w:rPr>
          <w:rFonts w:ascii="Arial" w:hAnsi="Arial" w:cs="Arial"/>
          <w:vertAlign w:val="superscript"/>
        </w:rPr>
        <w:t>2</w:t>
      </w:r>
      <w:r w:rsidRPr="00A30F45">
        <w:rPr>
          <w:rFonts w:ascii="Arial" w:hAnsi="Arial" w:cs="Arial"/>
        </w:rPr>
        <w:t xml:space="preserve">) e </w:t>
      </w:r>
      <w:proofErr w:type="spellStart"/>
      <w:proofErr w:type="gramStart"/>
      <w:r w:rsidRPr="00A30F45">
        <w:rPr>
          <w:rFonts w:ascii="Arial" w:hAnsi="Arial" w:cs="Arial"/>
        </w:rPr>
        <w:t>G</w:t>
      </w:r>
      <w:r w:rsidRPr="00A30F45">
        <w:rPr>
          <w:rFonts w:ascii="Arial" w:hAnsi="Arial" w:cs="Arial"/>
          <w:vertAlign w:val="subscript"/>
        </w:rPr>
        <w:t>IIc</w:t>
      </w:r>
      <w:proofErr w:type="spellEnd"/>
      <w:proofErr w:type="gramEnd"/>
      <w:r w:rsidRPr="00A30F45">
        <w:rPr>
          <w:rFonts w:ascii="Arial" w:hAnsi="Arial" w:cs="Arial"/>
        </w:rPr>
        <w:t xml:space="preserve"> (770,72 J/m</w:t>
      </w:r>
      <w:r w:rsidRPr="00A30F45">
        <w:rPr>
          <w:rFonts w:ascii="Arial" w:hAnsi="Arial" w:cs="Arial"/>
          <w:vertAlign w:val="superscript"/>
        </w:rPr>
        <w:t>2</w:t>
      </w:r>
      <w:r w:rsidRPr="00A30F45">
        <w:rPr>
          <w:rFonts w:ascii="Arial" w:hAnsi="Arial" w:cs="Arial"/>
        </w:rPr>
        <w:t xml:space="preserve">) obtidos estão dentro do esperado pela literatura. O fato de a energia necessária para iniciar a propagação da trinca em Modo II ser maior do que Modo I é por que, na flexão </w:t>
      </w:r>
      <w:r w:rsidRPr="00C13134">
        <w:rPr>
          <w:rFonts w:ascii="Arial" w:hAnsi="Arial" w:cs="Arial"/>
        </w:rPr>
        <w:t>existe um campo de compressão, enquanto que no Modo I se trata de uma abertura pura por tração. Esse fator faz com que o comprimento de propagação da trinca em Modo II seja significativament</w:t>
      </w:r>
      <w:r>
        <w:rPr>
          <w:rFonts w:ascii="Arial" w:hAnsi="Arial" w:cs="Arial"/>
        </w:rPr>
        <w:t>e menor do que Modo I, dificultando</w:t>
      </w:r>
      <w:r w:rsidRPr="00C13134">
        <w:rPr>
          <w:rFonts w:ascii="Arial" w:hAnsi="Arial" w:cs="Arial"/>
        </w:rPr>
        <w:t xml:space="preserve"> a caracterização da</w:t>
      </w:r>
      <w:r>
        <w:rPr>
          <w:rFonts w:ascii="Arial" w:hAnsi="Arial" w:cs="Arial"/>
        </w:rPr>
        <w:t xml:space="preserve"> propagação da</w:t>
      </w:r>
      <w:r w:rsidRPr="00C13134">
        <w:rPr>
          <w:rFonts w:ascii="Arial" w:hAnsi="Arial" w:cs="Arial"/>
        </w:rPr>
        <w:t xml:space="preserve"> fratura. A curva de resistência à delaminação apresenta dois comportamentos de energia de abertura de trinca, sendo que o primeiro diminui enquanto aumenta o comprimento da trinca e o segundo diminui.</w:t>
      </w:r>
    </w:p>
    <w:p w:rsidR="00BF05B6" w:rsidRPr="00413272" w:rsidRDefault="00BF05B6" w:rsidP="00BF05B6">
      <w:pPr>
        <w:pStyle w:val="Corpodetexto"/>
        <w:suppressAutoHyphens/>
        <w:spacing w:before="120"/>
        <w:contextualSpacing/>
        <w:rPr>
          <w:bCs w:val="0"/>
          <w:sz w:val="24"/>
        </w:rPr>
      </w:pPr>
      <w:r w:rsidRPr="007722C2">
        <w:rPr>
          <w:bCs w:val="0"/>
          <w:sz w:val="24"/>
        </w:rPr>
        <w:t>Agradecimentos</w:t>
      </w:r>
    </w:p>
    <w:p w:rsidR="00BF05B6" w:rsidRPr="004D5078" w:rsidRDefault="00BF05B6" w:rsidP="00BF05B6">
      <w:pPr>
        <w:pStyle w:val="Corpodetexto"/>
        <w:suppressAutoHyphens/>
        <w:contextualSpacing/>
        <w:rPr>
          <w:b w:val="0"/>
          <w:bCs w:val="0"/>
          <w:sz w:val="24"/>
        </w:rPr>
      </w:pPr>
      <w:r w:rsidRPr="00D50C8D">
        <w:rPr>
          <w:b w:val="0"/>
          <w:bCs w:val="0"/>
          <w:sz w:val="24"/>
        </w:rPr>
        <w:t xml:space="preserve">Ao Centro Universitário da FEI, à </w:t>
      </w:r>
      <w:proofErr w:type="spellStart"/>
      <w:r w:rsidRPr="00D50C8D">
        <w:rPr>
          <w:b w:val="0"/>
          <w:bCs w:val="0"/>
          <w:sz w:val="24"/>
        </w:rPr>
        <w:t>Profª</w:t>
      </w:r>
      <w:proofErr w:type="spellEnd"/>
      <w:r w:rsidRPr="00D50C8D">
        <w:rPr>
          <w:b w:val="0"/>
          <w:bCs w:val="0"/>
          <w:sz w:val="24"/>
        </w:rPr>
        <w:t xml:space="preserve"> Dra. Gigliola Salerno, ao </w:t>
      </w:r>
      <w:proofErr w:type="spellStart"/>
      <w:proofErr w:type="gramStart"/>
      <w:r w:rsidRPr="00D50C8D">
        <w:rPr>
          <w:b w:val="0"/>
          <w:bCs w:val="0"/>
          <w:sz w:val="24"/>
        </w:rPr>
        <w:t>Prof°</w:t>
      </w:r>
      <w:proofErr w:type="spellEnd"/>
      <w:r w:rsidRPr="00D50C8D">
        <w:rPr>
          <w:b w:val="0"/>
          <w:bCs w:val="0"/>
          <w:sz w:val="24"/>
        </w:rPr>
        <w:t>.</w:t>
      </w:r>
      <w:proofErr w:type="gramEnd"/>
      <w:r>
        <w:rPr>
          <w:b w:val="0"/>
          <w:bCs w:val="0"/>
          <w:sz w:val="24"/>
        </w:rPr>
        <w:t xml:space="preserve"> </w:t>
      </w:r>
      <w:proofErr w:type="spellStart"/>
      <w:r>
        <w:rPr>
          <w:b w:val="0"/>
          <w:bCs w:val="0"/>
          <w:sz w:val="24"/>
        </w:rPr>
        <w:t>Msc</w:t>
      </w:r>
      <w:proofErr w:type="spellEnd"/>
      <w:r>
        <w:rPr>
          <w:b w:val="0"/>
          <w:bCs w:val="0"/>
          <w:sz w:val="24"/>
        </w:rPr>
        <w:t>.</w:t>
      </w:r>
      <w:r w:rsidRPr="00D50C8D">
        <w:rPr>
          <w:b w:val="0"/>
          <w:bCs w:val="0"/>
          <w:sz w:val="24"/>
        </w:rPr>
        <w:t xml:space="preserve"> Willian</w:t>
      </w:r>
      <w:r>
        <w:rPr>
          <w:b w:val="0"/>
          <w:bCs w:val="0"/>
          <w:sz w:val="24"/>
        </w:rPr>
        <w:t xml:space="preserve"> </w:t>
      </w:r>
      <w:proofErr w:type="spellStart"/>
      <w:r w:rsidRPr="00D50C8D">
        <w:rPr>
          <w:b w:val="0"/>
          <w:bCs w:val="0"/>
          <w:sz w:val="24"/>
        </w:rPr>
        <w:t>Naville</w:t>
      </w:r>
      <w:proofErr w:type="spellEnd"/>
      <w:r w:rsidRPr="00D50C8D">
        <w:rPr>
          <w:b w:val="0"/>
          <w:bCs w:val="0"/>
          <w:sz w:val="24"/>
        </w:rPr>
        <w:t xml:space="preserve"> pel</w:t>
      </w:r>
      <w:r>
        <w:rPr>
          <w:b w:val="0"/>
          <w:bCs w:val="0"/>
          <w:sz w:val="24"/>
        </w:rPr>
        <w:t>o</w:t>
      </w:r>
      <w:r w:rsidRPr="00D50C8D">
        <w:rPr>
          <w:b w:val="0"/>
          <w:bCs w:val="0"/>
          <w:sz w:val="24"/>
        </w:rPr>
        <w:t xml:space="preserve"> </w:t>
      </w:r>
      <w:r>
        <w:rPr>
          <w:b w:val="0"/>
          <w:bCs w:val="0"/>
          <w:sz w:val="24"/>
        </w:rPr>
        <w:t>auxílio</w:t>
      </w:r>
      <w:r w:rsidRPr="00D50C8D">
        <w:rPr>
          <w:b w:val="0"/>
          <w:bCs w:val="0"/>
          <w:sz w:val="24"/>
        </w:rPr>
        <w:t xml:space="preserve"> nos ensaios e na utilização da máquina universal de ensaios, à </w:t>
      </w:r>
      <w:proofErr w:type="spellStart"/>
      <w:r w:rsidRPr="00D50C8D">
        <w:rPr>
          <w:b w:val="0"/>
          <w:bCs w:val="0"/>
          <w:sz w:val="24"/>
        </w:rPr>
        <w:lastRenderedPageBreak/>
        <w:t>Profª</w:t>
      </w:r>
      <w:proofErr w:type="spellEnd"/>
      <w:r w:rsidRPr="00D50C8D">
        <w:rPr>
          <w:b w:val="0"/>
          <w:bCs w:val="0"/>
          <w:sz w:val="24"/>
        </w:rPr>
        <w:t xml:space="preserve"> Dra. Daniella </w:t>
      </w:r>
      <w:proofErr w:type="spellStart"/>
      <w:r w:rsidRPr="00D50C8D">
        <w:rPr>
          <w:b w:val="0"/>
          <w:bCs w:val="0"/>
          <w:sz w:val="24"/>
        </w:rPr>
        <w:t>Caluscio</w:t>
      </w:r>
      <w:proofErr w:type="spellEnd"/>
      <w:r w:rsidRPr="00D50C8D">
        <w:rPr>
          <w:b w:val="0"/>
          <w:bCs w:val="0"/>
          <w:sz w:val="24"/>
        </w:rPr>
        <w:t xml:space="preserve"> pela colaboração e auxílio nas análises por microscopia eletrônica de varredura e aos técnicos do Laboratório de Materiais (</w:t>
      </w:r>
      <w:proofErr w:type="spellStart"/>
      <w:proofErr w:type="gramStart"/>
      <w:r w:rsidRPr="00D50C8D">
        <w:rPr>
          <w:b w:val="0"/>
          <w:bCs w:val="0"/>
          <w:sz w:val="24"/>
        </w:rPr>
        <w:t>LabMat</w:t>
      </w:r>
      <w:proofErr w:type="spellEnd"/>
      <w:proofErr w:type="gramEnd"/>
      <w:r w:rsidRPr="00D50C8D">
        <w:rPr>
          <w:b w:val="0"/>
          <w:bCs w:val="0"/>
          <w:sz w:val="24"/>
        </w:rPr>
        <w:t>-FEI)</w:t>
      </w:r>
      <w:r>
        <w:rPr>
          <w:b w:val="0"/>
          <w:bCs w:val="0"/>
          <w:sz w:val="24"/>
        </w:rPr>
        <w:t>.</w:t>
      </w:r>
    </w:p>
    <w:p w:rsidR="00BF05B6" w:rsidRDefault="00BF05B6" w:rsidP="00BF05B6">
      <w:pPr>
        <w:pStyle w:val="Corpodetexto"/>
        <w:suppressAutoHyphens/>
        <w:contextualSpacing/>
        <w:rPr>
          <w:bCs w:val="0"/>
          <w:sz w:val="24"/>
        </w:rPr>
      </w:pPr>
    </w:p>
    <w:p w:rsidR="00BF05B6" w:rsidRDefault="00BF05B6" w:rsidP="00BF05B6">
      <w:pPr>
        <w:pStyle w:val="Corpodetexto"/>
        <w:suppressAutoHyphens/>
        <w:contextualSpacing/>
        <w:rPr>
          <w:bCs w:val="0"/>
          <w:sz w:val="24"/>
        </w:rPr>
      </w:pPr>
      <w:r w:rsidRPr="007722C2">
        <w:rPr>
          <w:bCs w:val="0"/>
          <w:sz w:val="24"/>
        </w:rPr>
        <w:t>REFERÊNCIAS</w:t>
      </w:r>
      <w:bookmarkStart w:id="31" w:name="_GoBack"/>
      <w:bookmarkEnd w:id="31"/>
    </w:p>
    <w:p w:rsidR="00BF05B6" w:rsidRPr="007722C2" w:rsidRDefault="00BF05B6" w:rsidP="00BF05B6">
      <w:pPr>
        <w:pStyle w:val="Corpodetexto"/>
        <w:suppressAutoHyphens/>
        <w:contextualSpacing/>
        <w:rPr>
          <w:b w:val="0"/>
          <w:bCs w:val="0"/>
          <w:sz w:val="24"/>
        </w:rPr>
      </w:pPr>
    </w:p>
    <w:p w:rsidR="00BF05B6" w:rsidRPr="009A3A32" w:rsidRDefault="00BF05B6" w:rsidP="00BF05B6">
      <w:pPr>
        <w:numPr>
          <w:ilvl w:val="0"/>
          <w:numId w:val="2"/>
        </w:numPr>
        <w:suppressAutoHyphens/>
        <w:autoSpaceDE w:val="0"/>
        <w:autoSpaceDN w:val="0"/>
        <w:adjustRightInd w:val="0"/>
        <w:contextualSpacing/>
        <w:jc w:val="both"/>
        <w:rPr>
          <w:sz w:val="20"/>
          <w:szCs w:val="22"/>
        </w:rPr>
      </w:pPr>
      <w:r w:rsidRPr="009A3A32">
        <w:rPr>
          <w:sz w:val="22"/>
        </w:rPr>
        <w:t xml:space="preserve">Cândido, G. M.; Rezende, M. C.; </w:t>
      </w:r>
      <w:proofErr w:type="spellStart"/>
      <w:r w:rsidRPr="009A3A32">
        <w:rPr>
          <w:sz w:val="22"/>
        </w:rPr>
        <w:t>Donadon</w:t>
      </w:r>
      <w:proofErr w:type="spellEnd"/>
      <w:r w:rsidRPr="009A3A32">
        <w:rPr>
          <w:sz w:val="22"/>
        </w:rPr>
        <w:t xml:space="preserve">, M. V.; Almeida, S. F. M. Fractografia de compósito estrutural aeronáutico submetido à caracterização de tenacidade à fratura interlaminar em Modo I. São Carlos. </w:t>
      </w:r>
      <w:proofErr w:type="gramStart"/>
      <w:r w:rsidRPr="009A3A32">
        <w:rPr>
          <w:sz w:val="22"/>
        </w:rPr>
        <w:t>v.</w:t>
      </w:r>
      <w:proofErr w:type="gramEnd"/>
      <w:r w:rsidRPr="009A3A32">
        <w:rPr>
          <w:sz w:val="22"/>
        </w:rPr>
        <w:t xml:space="preserve"> 22, n. 1, mar. 2012.</w:t>
      </w:r>
    </w:p>
    <w:p w:rsidR="00BF05B6" w:rsidRPr="009A3A32" w:rsidRDefault="00BF05B6" w:rsidP="00BF05B6">
      <w:pPr>
        <w:pStyle w:val="PargrafodaLista"/>
        <w:numPr>
          <w:ilvl w:val="0"/>
          <w:numId w:val="2"/>
        </w:numPr>
        <w:jc w:val="both"/>
        <w:rPr>
          <w:sz w:val="22"/>
        </w:rPr>
      </w:pPr>
      <w:r w:rsidRPr="009A3A32">
        <w:rPr>
          <w:sz w:val="22"/>
        </w:rPr>
        <w:t xml:space="preserve">Rezende, M. C.; Costa, M. L.; Botelho, E. C. Compósitos estruturais. Tecnologia e Prática. São Paulo, SP: </w:t>
      </w:r>
      <w:proofErr w:type="spellStart"/>
      <w:r w:rsidRPr="009A3A32">
        <w:rPr>
          <w:sz w:val="22"/>
        </w:rPr>
        <w:t>Artliber</w:t>
      </w:r>
      <w:proofErr w:type="spellEnd"/>
      <w:r w:rsidRPr="009A3A32">
        <w:rPr>
          <w:sz w:val="22"/>
        </w:rPr>
        <w:t>, 2011.</w:t>
      </w:r>
    </w:p>
    <w:p w:rsidR="00BF05B6" w:rsidRPr="00D672A7" w:rsidRDefault="00BF05B6" w:rsidP="00BF05B6">
      <w:pPr>
        <w:numPr>
          <w:ilvl w:val="0"/>
          <w:numId w:val="2"/>
        </w:numPr>
        <w:suppressAutoHyphens/>
        <w:autoSpaceDE w:val="0"/>
        <w:autoSpaceDN w:val="0"/>
        <w:adjustRightInd w:val="0"/>
        <w:contextualSpacing/>
        <w:jc w:val="both"/>
        <w:rPr>
          <w:sz w:val="20"/>
          <w:szCs w:val="22"/>
          <w:lang w:val="en-GB"/>
        </w:rPr>
      </w:pPr>
      <w:r w:rsidRPr="009A3A32">
        <w:rPr>
          <w:sz w:val="22"/>
          <w:lang w:val="en-US"/>
        </w:rPr>
        <w:t xml:space="preserve">Choi, N. S.; Kinloch, A. J.; </w:t>
      </w:r>
      <w:proofErr w:type="spellStart"/>
      <w:r w:rsidRPr="009A3A32">
        <w:rPr>
          <w:sz w:val="22"/>
          <w:lang w:val="en-US"/>
        </w:rPr>
        <w:t>Willians</w:t>
      </w:r>
      <w:proofErr w:type="spellEnd"/>
      <w:r w:rsidRPr="009A3A32">
        <w:rPr>
          <w:sz w:val="22"/>
          <w:lang w:val="en-US"/>
        </w:rPr>
        <w:t xml:space="preserve">, J. G. Delamination fracture of multidirectional carbon-fiber/epoxy composite under Mode I, Mode II and mixed-Mode I/II </w:t>
      </w:r>
      <w:proofErr w:type="spellStart"/>
      <w:r w:rsidRPr="009A3A32">
        <w:rPr>
          <w:sz w:val="22"/>
          <w:lang w:val="en-US"/>
        </w:rPr>
        <w:t>loading.JournalofCompositeMaterials</w:t>
      </w:r>
      <w:proofErr w:type="spellEnd"/>
      <w:r w:rsidRPr="009A3A32">
        <w:rPr>
          <w:sz w:val="22"/>
          <w:lang w:val="en-US"/>
        </w:rPr>
        <w:t>, v. 33, n. 1, 1999</w:t>
      </w:r>
    </w:p>
    <w:p w:rsidR="00BF05B6" w:rsidRPr="009A3A32" w:rsidRDefault="00BF05B6" w:rsidP="00BF05B6">
      <w:pPr>
        <w:pStyle w:val="PargrafodaLista"/>
        <w:numPr>
          <w:ilvl w:val="0"/>
          <w:numId w:val="2"/>
        </w:numPr>
        <w:jc w:val="both"/>
        <w:rPr>
          <w:rStyle w:val="Hyperlink"/>
          <w:lang w:val="en-US"/>
        </w:rPr>
      </w:pPr>
      <w:r w:rsidRPr="009A3A32">
        <w:rPr>
          <w:rStyle w:val="Hyperlink"/>
          <w:lang w:val="en-US"/>
        </w:rPr>
        <w:t>C</w:t>
      </w:r>
      <w:r>
        <w:rPr>
          <w:rStyle w:val="Hyperlink"/>
          <w:lang w:val="en-US"/>
        </w:rPr>
        <w:t>hai</w:t>
      </w:r>
      <w:r w:rsidRPr="009A3A32">
        <w:rPr>
          <w:rStyle w:val="Hyperlink"/>
          <w:lang w:val="en-US"/>
        </w:rPr>
        <w:t xml:space="preserve">, H. The </w:t>
      </w:r>
      <w:proofErr w:type="spellStart"/>
      <w:r w:rsidRPr="009A3A32">
        <w:rPr>
          <w:rStyle w:val="Hyperlink"/>
          <w:lang w:val="en-US"/>
        </w:rPr>
        <w:t>caracterization</w:t>
      </w:r>
      <w:proofErr w:type="spellEnd"/>
      <w:r w:rsidRPr="009A3A32">
        <w:rPr>
          <w:rStyle w:val="Hyperlink"/>
          <w:lang w:val="en-US"/>
        </w:rPr>
        <w:t xml:space="preserve"> of Mode I delamination failure in </w:t>
      </w:r>
      <w:proofErr w:type="spellStart"/>
      <w:r w:rsidRPr="009A3A32">
        <w:rPr>
          <w:rStyle w:val="Hyperlink"/>
          <w:lang w:val="en-US"/>
        </w:rPr>
        <w:t>nonwovem</w:t>
      </w:r>
      <w:proofErr w:type="spellEnd"/>
      <w:r w:rsidRPr="009A3A32">
        <w:rPr>
          <w:rStyle w:val="Hyperlink"/>
          <w:lang w:val="en-US"/>
        </w:rPr>
        <w:t xml:space="preserve">, multidirectional laminates. In: Composites, v. 5, n. 4, </w:t>
      </w:r>
      <w:proofErr w:type="spellStart"/>
      <w:r w:rsidRPr="009A3A32">
        <w:rPr>
          <w:rStyle w:val="Hyperlink"/>
          <w:lang w:val="en-US"/>
        </w:rPr>
        <w:t>oct.</w:t>
      </w:r>
      <w:proofErr w:type="spellEnd"/>
      <w:r w:rsidRPr="009A3A32">
        <w:rPr>
          <w:rStyle w:val="Hyperlink"/>
          <w:lang w:val="en-US"/>
        </w:rPr>
        <w:t>, 1984.</w:t>
      </w:r>
    </w:p>
    <w:p w:rsidR="00BF05B6" w:rsidRPr="00D672A7" w:rsidRDefault="00BF05B6" w:rsidP="00BF05B6">
      <w:pPr>
        <w:pStyle w:val="PargrafodaLista"/>
        <w:numPr>
          <w:ilvl w:val="0"/>
          <w:numId w:val="2"/>
        </w:numPr>
        <w:jc w:val="both"/>
        <w:rPr>
          <w:sz w:val="22"/>
        </w:rPr>
      </w:pPr>
      <w:r w:rsidRPr="009A3A32">
        <w:rPr>
          <w:sz w:val="22"/>
          <w:lang w:val="en-US"/>
        </w:rPr>
        <w:t>S</w:t>
      </w:r>
      <w:r>
        <w:rPr>
          <w:sz w:val="22"/>
          <w:lang w:val="en-US"/>
        </w:rPr>
        <w:t>alerno</w:t>
      </w:r>
      <w:r w:rsidRPr="009A3A32">
        <w:rPr>
          <w:sz w:val="22"/>
          <w:lang w:val="en-US"/>
        </w:rPr>
        <w:t xml:space="preserve">, G. Damage analysis of composite laminates subject to low velocity impacts. </w:t>
      </w:r>
      <w:r w:rsidRPr="00D672A7">
        <w:rPr>
          <w:sz w:val="22"/>
        </w:rPr>
        <w:t xml:space="preserve">2009b. 216 f. Dissertação (Doutorado em Engenharia estrutural) – </w:t>
      </w:r>
      <w:proofErr w:type="spellStart"/>
      <w:r w:rsidRPr="00D672A7">
        <w:rPr>
          <w:sz w:val="22"/>
        </w:rPr>
        <w:t>Doctoral</w:t>
      </w:r>
      <w:proofErr w:type="spellEnd"/>
      <w:r w:rsidRPr="00D672A7">
        <w:rPr>
          <w:sz w:val="22"/>
        </w:rPr>
        <w:t xml:space="preserve"> </w:t>
      </w:r>
      <w:proofErr w:type="spellStart"/>
      <w:r w:rsidRPr="00D672A7">
        <w:rPr>
          <w:sz w:val="22"/>
        </w:rPr>
        <w:t>School</w:t>
      </w:r>
      <w:proofErr w:type="spellEnd"/>
      <w:r w:rsidRPr="00D672A7">
        <w:rPr>
          <w:sz w:val="22"/>
        </w:rPr>
        <w:t xml:space="preserve"> in </w:t>
      </w:r>
      <w:proofErr w:type="spellStart"/>
      <w:r w:rsidRPr="00D672A7">
        <w:rPr>
          <w:sz w:val="22"/>
        </w:rPr>
        <w:t>Structural</w:t>
      </w:r>
      <w:proofErr w:type="spellEnd"/>
      <w:r w:rsidRPr="00D672A7">
        <w:rPr>
          <w:sz w:val="22"/>
        </w:rPr>
        <w:t xml:space="preserve">, </w:t>
      </w:r>
      <w:proofErr w:type="spellStart"/>
      <w:r w:rsidRPr="00D672A7">
        <w:rPr>
          <w:sz w:val="22"/>
        </w:rPr>
        <w:t>Politecnico</w:t>
      </w:r>
      <w:proofErr w:type="spellEnd"/>
      <w:r w:rsidRPr="00D672A7">
        <w:rPr>
          <w:sz w:val="22"/>
        </w:rPr>
        <w:t xml:space="preserve"> </w:t>
      </w:r>
      <w:proofErr w:type="spellStart"/>
      <w:r w:rsidRPr="00D672A7">
        <w:rPr>
          <w:sz w:val="22"/>
        </w:rPr>
        <w:t>di</w:t>
      </w:r>
      <w:proofErr w:type="spellEnd"/>
      <w:r w:rsidRPr="00D672A7">
        <w:rPr>
          <w:sz w:val="22"/>
        </w:rPr>
        <w:t xml:space="preserve"> Milano, Milão, 2009.</w:t>
      </w:r>
    </w:p>
    <w:p w:rsidR="00BF05B6" w:rsidRDefault="00BF05B6" w:rsidP="00BF05B6">
      <w:pPr>
        <w:pStyle w:val="PargrafodaLista"/>
        <w:numPr>
          <w:ilvl w:val="0"/>
          <w:numId w:val="2"/>
        </w:numPr>
        <w:jc w:val="both"/>
        <w:rPr>
          <w:rStyle w:val="Hyperlink"/>
          <w:lang w:val="en-US"/>
        </w:rPr>
      </w:pPr>
      <w:r w:rsidRPr="009A3A32">
        <w:rPr>
          <w:rStyle w:val="Hyperlink"/>
          <w:lang w:val="en-US"/>
        </w:rPr>
        <w:t>Gill</w:t>
      </w:r>
      <w:r>
        <w:rPr>
          <w:rStyle w:val="Hyperlink"/>
          <w:lang w:val="en-US"/>
        </w:rPr>
        <w:t xml:space="preserve">, A. F.; Robinson, P.; </w:t>
      </w:r>
      <w:proofErr w:type="spellStart"/>
      <w:r>
        <w:rPr>
          <w:rStyle w:val="Hyperlink"/>
          <w:lang w:val="en-US"/>
        </w:rPr>
        <w:t>Pinho</w:t>
      </w:r>
      <w:proofErr w:type="spellEnd"/>
      <w:r>
        <w:rPr>
          <w:rStyle w:val="Hyperlink"/>
          <w:lang w:val="en-US"/>
        </w:rPr>
        <w:t xml:space="preserve">, S. Effect of variation in </w:t>
      </w:r>
      <w:proofErr w:type="spellStart"/>
      <w:r>
        <w:rPr>
          <w:rStyle w:val="Hyperlink"/>
          <w:lang w:val="en-US"/>
        </w:rPr>
        <w:t>fibre</w:t>
      </w:r>
      <w:proofErr w:type="spellEnd"/>
      <w:r>
        <w:rPr>
          <w:rStyle w:val="Hyperlink"/>
          <w:lang w:val="en-US"/>
        </w:rPr>
        <w:t xml:space="preserve"> volume fraction on modes I e II delamination </w:t>
      </w:r>
      <w:proofErr w:type="spellStart"/>
      <w:r>
        <w:rPr>
          <w:rStyle w:val="Hyperlink"/>
          <w:lang w:val="en-US"/>
        </w:rPr>
        <w:t>behaviour</w:t>
      </w:r>
      <w:proofErr w:type="spellEnd"/>
      <w:r>
        <w:rPr>
          <w:rStyle w:val="Hyperlink"/>
          <w:lang w:val="en-US"/>
        </w:rPr>
        <w:t xml:space="preserve"> of 5HS woven composites. In: Composites science and technology, p. 2368-2375, 2009.</w:t>
      </w:r>
    </w:p>
    <w:p w:rsidR="00BF05B6" w:rsidRPr="00B44D57" w:rsidRDefault="00BF05B6" w:rsidP="00BF05B6">
      <w:pPr>
        <w:pStyle w:val="PargrafodaLista"/>
        <w:numPr>
          <w:ilvl w:val="0"/>
          <w:numId w:val="2"/>
        </w:numPr>
        <w:spacing w:before="120"/>
        <w:jc w:val="both"/>
        <w:rPr>
          <w:rStyle w:val="Hyperlink"/>
          <w:sz w:val="20"/>
          <w:lang w:val="en-US"/>
        </w:rPr>
      </w:pPr>
      <w:r w:rsidRPr="00B44D57">
        <w:rPr>
          <w:sz w:val="22"/>
          <w:lang w:val="en-US"/>
        </w:rPr>
        <w:t xml:space="preserve">ASTM D5528. American Society for Testing and Materials (ASTM). Standard Test Method for Mode I Interlaminar Fracture Toughness of Unidirectional Fiber-Reinforced Polymer Matrix Composites. </w:t>
      </w:r>
      <w:r w:rsidRPr="00B44D57">
        <w:rPr>
          <w:sz w:val="22"/>
        </w:rPr>
        <w:t>Standard D, 5528-01, 2007.</w:t>
      </w:r>
    </w:p>
    <w:p w:rsidR="00BF05B6" w:rsidRPr="009A3A32" w:rsidRDefault="00BF05B6" w:rsidP="00BF05B6">
      <w:pPr>
        <w:pStyle w:val="PargrafodaLista"/>
        <w:numPr>
          <w:ilvl w:val="0"/>
          <w:numId w:val="2"/>
        </w:numPr>
        <w:jc w:val="both"/>
        <w:rPr>
          <w:rStyle w:val="Hyperlink"/>
        </w:rPr>
      </w:pPr>
      <w:proofErr w:type="spellStart"/>
      <w:r w:rsidRPr="009A3A32">
        <w:rPr>
          <w:rStyle w:val="Hyperlink"/>
          <w:lang w:val="en-US"/>
        </w:rPr>
        <w:t>Pankow</w:t>
      </w:r>
      <w:proofErr w:type="spellEnd"/>
      <w:r w:rsidRPr="009A3A32">
        <w:rPr>
          <w:rStyle w:val="Hyperlink"/>
          <w:lang w:val="en-US"/>
        </w:rPr>
        <w:t xml:space="preserve">, M.; </w:t>
      </w:r>
      <w:proofErr w:type="spellStart"/>
      <w:r w:rsidRPr="009A3A32">
        <w:rPr>
          <w:rStyle w:val="Hyperlink"/>
          <w:lang w:val="en-US"/>
        </w:rPr>
        <w:t>Salvi</w:t>
      </w:r>
      <w:proofErr w:type="spellEnd"/>
      <w:r w:rsidRPr="009A3A32">
        <w:rPr>
          <w:rStyle w:val="Hyperlink"/>
          <w:lang w:val="en-US"/>
        </w:rPr>
        <w:t xml:space="preserve">, A.; </w:t>
      </w:r>
      <w:proofErr w:type="spellStart"/>
      <w:r w:rsidRPr="009A3A32">
        <w:rPr>
          <w:rStyle w:val="Hyperlink"/>
          <w:lang w:val="en-US"/>
        </w:rPr>
        <w:t>Waas</w:t>
      </w:r>
      <w:proofErr w:type="spellEnd"/>
      <w:r w:rsidRPr="009A3A32">
        <w:rPr>
          <w:rStyle w:val="Hyperlink"/>
          <w:lang w:val="en-US"/>
        </w:rPr>
        <w:t xml:space="preserve">, A. M., Yen, C. F., </w:t>
      </w:r>
      <w:proofErr w:type="spellStart"/>
      <w:r w:rsidRPr="009A3A32">
        <w:rPr>
          <w:rStyle w:val="Hyperlink"/>
          <w:lang w:val="en-US"/>
        </w:rPr>
        <w:t>Ghiorse</w:t>
      </w:r>
      <w:proofErr w:type="spellEnd"/>
      <w:r w:rsidRPr="009A3A32">
        <w:rPr>
          <w:rStyle w:val="Hyperlink"/>
          <w:lang w:val="en-US"/>
        </w:rPr>
        <w:t xml:space="preserve">, S. </w:t>
      </w:r>
      <w:proofErr w:type="spellStart"/>
      <w:r w:rsidRPr="009A3A32">
        <w:rPr>
          <w:rStyle w:val="Hyperlink"/>
          <w:lang w:val="en-US"/>
        </w:rPr>
        <w:t>Resistence</w:t>
      </w:r>
      <w:proofErr w:type="spellEnd"/>
      <w:r w:rsidRPr="009A3A32">
        <w:rPr>
          <w:rStyle w:val="Hyperlink"/>
          <w:lang w:val="en-US"/>
        </w:rPr>
        <w:t xml:space="preserve"> to delamination of 3D woven textile composites evaluated using End Notch Flexure (ENF) tests: experimental results. </w:t>
      </w:r>
      <w:r w:rsidRPr="009A3A32">
        <w:rPr>
          <w:rStyle w:val="Hyperlink"/>
        </w:rPr>
        <w:t xml:space="preserve">In: </w:t>
      </w:r>
      <w:proofErr w:type="spellStart"/>
      <w:r w:rsidRPr="009A3A32">
        <w:rPr>
          <w:rStyle w:val="Hyperlink"/>
        </w:rPr>
        <w:t>Composites</w:t>
      </w:r>
      <w:proofErr w:type="spellEnd"/>
      <w:r w:rsidRPr="009A3A32">
        <w:rPr>
          <w:rStyle w:val="Hyperlink"/>
        </w:rPr>
        <w:t xml:space="preserve">, p. 1463-1476, 2011. Ed: </w:t>
      </w:r>
      <w:proofErr w:type="spellStart"/>
      <w:r w:rsidRPr="009A3A32">
        <w:rPr>
          <w:rStyle w:val="Hyperlink"/>
        </w:rPr>
        <w:t>Elsevier</w:t>
      </w:r>
      <w:proofErr w:type="spellEnd"/>
      <w:r w:rsidRPr="009A3A32">
        <w:rPr>
          <w:rStyle w:val="Hyperlink"/>
        </w:rPr>
        <w:t xml:space="preserve"> Ltda.</w:t>
      </w:r>
    </w:p>
    <w:p w:rsidR="00BF05B6" w:rsidRPr="009A3A32" w:rsidRDefault="00BF05B6" w:rsidP="00BF05B6">
      <w:pPr>
        <w:pStyle w:val="PargrafodaLista"/>
        <w:numPr>
          <w:ilvl w:val="0"/>
          <w:numId w:val="2"/>
        </w:numPr>
        <w:jc w:val="both"/>
        <w:rPr>
          <w:rStyle w:val="Hyperlink"/>
          <w:lang w:val="en-US"/>
        </w:rPr>
      </w:pPr>
      <w:proofErr w:type="spellStart"/>
      <w:r w:rsidRPr="009A3A32">
        <w:rPr>
          <w:rStyle w:val="Hyperlink"/>
          <w:lang w:val="en-US"/>
        </w:rPr>
        <w:t>Sela</w:t>
      </w:r>
      <w:proofErr w:type="spellEnd"/>
      <w:r>
        <w:rPr>
          <w:rStyle w:val="Hyperlink"/>
          <w:lang w:val="en-US"/>
        </w:rPr>
        <w:t xml:space="preserve">, N.; </w:t>
      </w:r>
      <w:proofErr w:type="spellStart"/>
      <w:r>
        <w:rPr>
          <w:rStyle w:val="Hyperlink"/>
          <w:lang w:val="en-US"/>
        </w:rPr>
        <w:t>Ishai</w:t>
      </w:r>
      <w:proofErr w:type="spellEnd"/>
      <w:r>
        <w:rPr>
          <w:rStyle w:val="Hyperlink"/>
          <w:lang w:val="en-US"/>
        </w:rPr>
        <w:t xml:space="preserve">, O. Interlaminar fracture toughness and toughening of laminated composite materials: a review. Composites, v. 20, 1999. </w:t>
      </w:r>
    </w:p>
    <w:p w:rsidR="00BF05B6" w:rsidRDefault="00BF05B6" w:rsidP="00BF05B6">
      <w:pPr>
        <w:pStyle w:val="PargrafodaLista"/>
        <w:numPr>
          <w:ilvl w:val="0"/>
          <w:numId w:val="2"/>
        </w:numPr>
        <w:jc w:val="both"/>
        <w:rPr>
          <w:sz w:val="22"/>
        </w:rPr>
      </w:pPr>
      <w:r w:rsidRPr="009A3A32">
        <w:rPr>
          <w:sz w:val="22"/>
        </w:rPr>
        <w:t>R</w:t>
      </w:r>
      <w:r>
        <w:rPr>
          <w:sz w:val="22"/>
        </w:rPr>
        <w:t>ossini</w:t>
      </w:r>
      <w:r w:rsidRPr="009A3A32">
        <w:rPr>
          <w:sz w:val="22"/>
        </w:rPr>
        <w:t xml:space="preserve">, M. B. Caracterização das propriedades elásticas de um material compósito laminado. 2012. </w:t>
      </w:r>
      <w:proofErr w:type="gramStart"/>
      <w:r w:rsidRPr="009A3A32">
        <w:rPr>
          <w:sz w:val="22"/>
        </w:rPr>
        <w:t>f.</w:t>
      </w:r>
      <w:proofErr w:type="gramEnd"/>
      <w:r w:rsidRPr="009A3A32">
        <w:rPr>
          <w:sz w:val="22"/>
        </w:rPr>
        <w:t xml:space="preserve"> 73. Dissertação (Graduação em Engenharia de Materiais) – Centro Universitário da FEI, São Bernardo do Campo, 2012.</w:t>
      </w:r>
    </w:p>
    <w:p w:rsidR="00BF05B6" w:rsidRDefault="00BF05B6" w:rsidP="00BF05B6">
      <w:pPr>
        <w:pStyle w:val="PargrafodaLista"/>
        <w:numPr>
          <w:ilvl w:val="0"/>
          <w:numId w:val="2"/>
        </w:numPr>
        <w:spacing w:before="120"/>
        <w:jc w:val="both"/>
        <w:rPr>
          <w:sz w:val="22"/>
          <w:lang w:val="en-US"/>
        </w:rPr>
      </w:pPr>
      <w:r w:rsidRPr="00B44D57">
        <w:rPr>
          <w:sz w:val="22"/>
          <w:lang w:val="en-US"/>
        </w:rPr>
        <w:t>ASTM D790. American Society for Testing and Materials (ASTM). Standard Test Methods for Flexural Properties of Unreinforced and Reinforced Plastics and Electrical Insulating Materials. Standard D, 790-10, 2010.</w:t>
      </w:r>
    </w:p>
    <w:p w:rsidR="00961142" w:rsidRPr="00BF05B6" w:rsidRDefault="00BF05B6" w:rsidP="00BF05B6">
      <w:pPr>
        <w:pStyle w:val="PargrafodaLista"/>
        <w:numPr>
          <w:ilvl w:val="0"/>
          <w:numId w:val="2"/>
        </w:numPr>
        <w:spacing w:before="120"/>
        <w:jc w:val="both"/>
        <w:rPr>
          <w:sz w:val="22"/>
          <w:lang w:val="en-US"/>
        </w:rPr>
      </w:pPr>
      <w:r w:rsidRPr="00BF05B6">
        <w:rPr>
          <w:sz w:val="22"/>
          <w:lang w:val="en-US"/>
        </w:rPr>
        <w:t xml:space="preserve">ASTM D3039. </w:t>
      </w:r>
      <w:proofErr w:type="gramStart"/>
      <w:r w:rsidRPr="00BF05B6">
        <w:rPr>
          <w:sz w:val="22"/>
          <w:lang w:val="en-US"/>
        </w:rPr>
        <w:t>American Society for Testing and Materials (ASTM).</w:t>
      </w:r>
      <w:proofErr w:type="gramEnd"/>
      <w:r w:rsidRPr="00BF05B6">
        <w:rPr>
          <w:sz w:val="22"/>
          <w:lang w:val="en-US"/>
        </w:rPr>
        <w:t xml:space="preserve"> </w:t>
      </w:r>
      <w:proofErr w:type="gramStart"/>
      <w:r w:rsidRPr="00BF05B6">
        <w:rPr>
          <w:sz w:val="22"/>
          <w:lang w:val="en-US"/>
        </w:rPr>
        <w:t>Standard Test Method for Tensile Properties of Polymer Matrix Composite Materials.</w:t>
      </w:r>
      <w:proofErr w:type="gramEnd"/>
      <w:r w:rsidRPr="00BF05B6">
        <w:rPr>
          <w:sz w:val="22"/>
          <w:lang w:val="en-US"/>
        </w:rPr>
        <w:t xml:space="preserve"> </w:t>
      </w:r>
      <w:proofErr w:type="gramStart"/>
      <w:r w:rsidRPr="00BF05B6">
        <w:rPr>
          <w:sz w:val="22"/>
          <w:lang w:val="en-US"/>
        </w:rPr>
        <w:t>Standard D, 3039, 2008.</w:t>
      </w:r>
      <w:proofErr w:type="gramEnd"/>
    </w:p>
    <w:sectPr w:rsidR="00961142" w:rsidRPr="00BF05B6" w:rsidSect="002C0706">
      <w:pgSz w:w="11906" w:h="16838"/>
      <w:pgMar w:top="1701"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F5992"/>
    <w:multiLevelType w:val="multilevel"/>
    <w:tmpl w:val="02CC92EA"/>
    <w:lvl w:ilvl="0">
      <w:start w:val="1"/>
      <w:numFmt w:val="decimal"/>
      <w:lvlText w:val="%1"/>
      <w:lvlJc w:val="left"/>
      <w:pPr>
        <w:ind w:left="375" w:hanging="375"/>
      </w:pPr>
      <w:rPr>
        <w:rFonts w:hint="default"/>
        <w:i w:val="0"/>
      </w:rPr>
    </w:lvl>
    <w:lvl w:ilvl="1">
      <w:start w:val="1"/>
      <w:numFmt w:val="decimal"/>
      <w:lvlText w:val="%1.%2"/>
      <w:lvlJc w:val="left"/>
      <w:pPr>
        <w:ind w:left="1944" w:hanging="720"/>
      </w:pPr>
      <w:rPr>
        <w:rFonts w:hint="default"/>
        <w:i w:val="0"/>
      </w:rPr>
    </w:lvl>
    <w:lvl w:ilvl="2">
      <w:start w:val="1"/>
      <w:numFmt w:val="decimal"/>
      <w:lvlText w:val="%1.%2.%3"/>
      <w:lvlJc w:val="left"/>
      <w:pPr>
        <w:ind w:left="3168" w:hanging="720"/>
      </w:pPr>
      <w:rPr>
        <w:rFonts w:hint="default"/>
        <w:i w:val="0"/>
      </w:rPr>
    </w:lvl>
    <w:lvl w:ilvl="3">
      <w:start w:val="1"/>
      <w:numFmt w:val="decimal"/>
      <w:lvlText w:val="%1.%2.%3.%4"/>
      <w:lvlJc w:val="left"/>
      <w:pPr>
        <w:ind w:left="4752" w:hanging="1080"/>
      </w:pPr>
      <w:rPr>
        <w:rFonts w:hint="default"/>
        <w:i w:val="0"/>
      </w:rPr>
    </w:lvl>
    <w:lvl w:ilvl="4">
      <w:start w:val="1"/>
      <w:numFmt w:val="decimal"/>
      <w:lvlText w:val="%1.%2.%3.%4.%5"/>
      <w:lvlJc w:val="left"/>
      <w:pPr>
        <w:ind w:left="5976" w:hanging="1080"/>
      </w:pPr>
      <w:rPr>
        <w:rFonts w:hint="default"/>
        <w:i w:val="0"/>
      </w:rPr>
    </w:lvl>
    <w:lvl w:ilvl="5">
      <w:start w:val="1"/>
      <w:numFmt w:val="decimal"/>
      <w:lvlText w:val="%1.%2.%3.%4.%5.%6"/>
      <w:lvlJc w:val="left"/>
      <w:pPr>
        <w:ind w:left="7560" w:hanging="1440"/>
      </w:pPr>
      <w:rPr>
        <w:rFonts w:hint="default"/>
        <w:i w:val="0"/>
      </w:rPr>
    </w:lvl>
    <w:lvl w:ilvl="6">
      <w:start w:val="1"/>
      <w:numFmt w:val="decimal"/>
      <w:lvlText w:val="%1.%2.%3.%4.%5.%6.%7"/>
      <w:lvlJc w:val="left"/>
      <w:pPr>
        <w:ind w:left="9144" w:hanging="1800"/>
      </w:pPr>
      <w:rPr>
        <w:rFonts w:hint="default"/>
        <w:i w:val="0"/>
      </w:rPr>
    </w:lvl>
    <w:lvl w:ilvl="7">
      <w:start w:val="1"/>
      <w:numFmt w:val="decimal"/>
      <w:lvlText w:val="%1.%2.%3.%4.%5.%6.%7.%8"/>
      <w:lvlJc w:val="left"/>
      <w:pPr>
        <w:ind w:left="10368" w:hanging="1800"/>
      </w:pPr>
      <w:rPr>
        <w:rFonts w:hint="default"/>
        <w:i w:val="0"/>
      </w:rPr>
    </w:lvl>
    <w:lvl w:ilvl="8">
      <w:start w:val="1"/>
      <w:numFmt w:val="decimal"/>
      <w:lvlText w:val="%1.%2.%3.%4.%5.%6.%7.%8.%9"/>
      <w:lvlJc w:val="left"/>
      <w:pPr>
        <w:ind w:left="11952" w:hanging="2160"/>
      </w:pPr>
      <w:rPr>
        <w:rFonts w:hint="default"/>
        <w:i w:val="0"/>
      </w:rPr>
    </w:lvl>
  </w:abstractNum>
  <w:abstractNum w:abstractNumId="1">
    <w:nsid w:val="375B51D9"/>
    <w:multiLevelType w:val="multilevel"/>
    <w:tmpl w:val="897A7318"/>
    <w:lvl w:ilvl="0">
      <w:start w:val="2"/>
      <w:numFmt w:val="decimal"/>
      <w:lvlText w:val="%1"/>
      <w:lvlJc w:val="left"/>
      <w:pPr>
        <w:ind w:left="375" w:hanging="375"/>
      </w:pPr>
      <w:rPr>
        <w:rFonts w:hint="default"/>
        <w:b/>
        <w:i w:val="0"/>
      </w:rPr>
    </w:lvl>
    <w:lvl w:ilvl="1">
      <w:start w:val="1"/>
      <w:numFmt w:val="decimal"/>
      <w:lvlText w:val="%1.%2"/>
      <w:lvlJc w:val="left"/>
      <w:pPr>
        <w:ind w:left="1080" w:hanging="720"/>
      </w:pPr>
      <w:rPr>
        <w:rFonts w:hint="default"/>
        <w:b/>
        <w:i w:val="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b/>
        <w:i w:val="0"/>
      </w:rPr>
    </w:lvl>
    <w:lvl w:ilvl="4">
      <w:start w:val="1"/>
      <w:numFmt w:val="decimal"/>
      <w:lvlText w:val="%1.%2.%3.%4.%5"/>
      <w:lvlJc w:val="left"/>
      <w:pPr>
        <w:ind w:left="2520" w:hanging="1080"/>
      </w:pPr>
      <w:rPr>
        <w:rFonts w:hint="default"/>
        <w:b/>
        <w:i w:val="0"/>
      </w:rPr>
    </w:lvl>
    <w:lvl w:ilvl="5">
      <w:start w:val="1"/>
      <w:numFmt w:val="decimal"/>
      <w:lvlText w:val="%1.%2.%3.%4.%5.%6"/>
      <w:lvlJc w:val="left"/>
      <w:pPr>
        <w:ind w:left="3240" w:hanging="1440"/>
      </w:pPr>
      <w:rPr>
        <w:rFonts w:hint="default"/>
        <w:b/>
        <w:i w:val="0"/>
      </w:rPr>
    </w:lvl>
    <w:lvl w:ilvl="6">
      <w:start w:val="1"/>
      <w:numFmt w:val="decimal"/>
      <w:lvlText w:val="%1.%2.%3.%4.%5.%6.%7"/>
      <w:lvlJc w:val="left"/>
      <w:pPr>
        <w:ind w:left="3960" w:hanging="1800"/>
      </w:pPr>
      <w:rPr>
        <w:rFonts w:hint="default"/>
        <w:b/>
        <w:i w:val="0"/>
      </w:rPr>
    </w:lvl>
    <w:lvl w:ilvl="7">
      <w:start w:val="1"/>
      <w:numFmt w:val="decimal"/>
      <w:lvlText w:val="%1.%2.%3.%4.%5.%6.%7.%8"/>
      <w:lvlJc w:val="left"/>
      <w:pPr>
        <w:ind w:left="4320" w:hanging="1800"/>
      </w:pPr>
      <w:rPr>
        <w:rFonts w:hint="default"/>
        <w:b/>
        <w:i w:val="0"/>
      </w:rPr>
    </w:lvl>
    <w:lvl w:ilvl="8">
      <w:start w:val="1"/>
      <w:numFmt w:val="decimal"/>
      <w:lvlText w:val="%1.%2.%3.%4.%5.%6.%7.%8.%9"/>
      <w:lvlJc w:val="left"/>
      <w:pPr>
        <w:ind w:left="5040" w:hanging="2160"/>
      </w:pPr>
      <w:rPr>
        <w:rFonts w:hint="default"/>
        <w:b/>
        <w:i w:val="0"/>
      </w:rPr>
    </w:lvl>
  </w:abstractNum>
  <w:abstractNum w:abstractNumId="2">
    <w:nsid w:val="43D61E8D"/>
    <w:multiLevelType w:val="hybridMultilevel"/>
    <w:tmpl w:val="1382A37E"/>
    <w:lvl w:ilvl="0" w:tplc="C4FC849C">
      <w:start w:val="1"/>
      <w:numFmt w:val="decimal"/>
      <w:lvlText w:val="%1"/>
      <w:lvlJc w:val="left"/>
      <w:pPr>
        <w:tabs>
          <w:tab w:val="num" w:pos="0"/>
        </w:tabs>
        <w:ind w:left="510" w:hanging="510"/>
      </w:pPr>
      <w:rPr>
        <w:rFonts w:ascii="Arial" w:hAnsi="Arial" w:cs="Times New Roman" w:hint="default"/>
        <w:b w:val="0"/>
        <w:i w:val="0"/>
        <w:color w:val="000000"/>
        <w:sz w:val="22"/>
        <w:szCs w:val="22"/>
        <w:vertAlign w:val="baseline"/>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
    <w:nsid w:val="4660125F"/>
    <w:multiLevelType w:val="hybridMultilevel"/>
    <w:tmpl w:val="D6925506"/>
    <w:lvl w:ilvl="0" w:tplc="10588354">
      <w:start w:val="1"/>
      <w:numFmt w:val="decimal"/>
      <w:lvlText w:val="%1"/>
      <w:lvlJc w:val="left"/>
      <w:pPr>
        <w:tabs>
          <w:tab w:val="num" w:pos="0"/>
        </w:tabs>
        <w:ind w:left="340" w:hanging="340"/>
      </w:pPr>
      <w:rPr>
        <w:rFonts w:ascii="Arial" w:hAnsi="Arial" w:cs="Times New Roman" w:hint="default"/>
        <w:b w:val="0"/>
        <w:i/>
        <w:color w:val="000000"/>
        <w:sz w:val="20"/>
        <w:szCs w:val="20"/>
        <w:vertAlign w:val="superscrip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5B6"/>
    <w:rsid w:val="002C0706"/>
    <w:rsid w:val="003A3B49"/>
    <w:rsid w:val="003B5A89"/>
    <w:rsid w:val="00441843"/>
    <w:rsid w:val="00563D45"/>
    <w:rsid w:val="005E3FB7"/>
    <w:rsid w:val="0070719B"/>
    <w:rsid w:val="007468DE"/>
    <w:rsid w:val="008864FB"/>
    <w:rsid w:val="008F5D17"/>
    <w:rsid w:val="00961142"/>
    <w:rsid w:val="009F6DD6"/>
    <w:rsid w:val="00BD6A3B"/>
    <w:rsid w:val="00BF05B6"/>
    <w:rsid w:val="00CC7CBB"/>
    <w:rsid w:val="00EA64AC"/>
    <w:rsid w:val="00F50C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5B6"/>
    <w:pPr>
      <w:spacing w:after="0" w:line="240" w:lineRule="auto"/>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7468DE"/>
    <w:pPr>
      <w:spacing w:after="240"/>
      <w:jc w:val="center"/>
    </w:pPr>
    <w:rPr>
      <w:rFonts w:cstheme="minorBidi"/>
      <w:bCs/>
      <w:sz w:val="20"/>
      <w:szCs w:val="18"/>
    </w:rPr>
  </w:style>
  <w:style w:type="paragraph" w:styleId="Corpodetexto">
    <w:name w:val="Body Text"/>
    <w:basedOn w:val="Normal"/>
    <w:link w:val="CorpodetextoChar"/>
    <w:rsid w:val="00BF05B6"/>
    <w:pPr>
      <w:jc w:val="both"/>
    </w:pPr>
    <w:rPr>
      <w:b/>
      <w:bCs/>
      <w:sz w:val="22"/>
    </w:rPr>
  </w:style>
  <w:style w:type="character" w:customStyle="1" w:styleId="CorpodetextoChar">
    <w:name w:val="Corpo de texto Char"/>
    <w:basedOn w:val="Fontepargpadro"/>
    <w:link w:val="Corpodetexto"/>
    <w:rsid w:val="00BF05B6"/>
    <w:rPr>
      <w:rFonts w:ascii="Arial" w:eastAsia="Times New Roman" w:hAnsi="Arial" w:cs="Arial"/>
      <w:b/>
      <w:bCs/>
      <w:sz w:val="22"/>
      <w:lang w:eastAsia="pt-BR"/>
    </w:rPr>
  </w:style>
  <w:style w:type="table" w:styleId="Tabelacomgrade">
    <w:name w:val="Table Grid"/>
    <w:basedOn w:val="Tabelanormal"/>
    <w:uiPriority w:val="59"/>
    <w:rsid w:val="00BF05B6"/>
    <w:pPr>
      <w:spacing w:after="0" w:line="240" w:lineRule="auto"/>
    </w:pPr>
    <w:rPr>
      <w:rFonts w:eastAsia="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BF05B6"/>
    <w:rPr>
      <w:rFonts w:cs="Times New Roman"/>
      <w:color w:val="0000FF"/>
      <w:u w:val="single"/>
    </w:rPr>
  </w:style>
  <w:style w:type="paragraph" w:styleId="NormalWeb">
    <w:name w:val="Normal (Web)"/>
    <w:basedOn w:val="Normal"/>
    <w:uiPriority w:val="99"/>
    <w:unhideWhenUsed/>
    <w:rsid w:val="00BF05B6"/>
    <w:pPr>
      <w:spacing w:before="100" w:beforeAutospacing="1" w:after="100" w:afterAutospacing="1"/>
    </w:pPr>
    <w:rPr>
      <w:rFonts w:ascii="Times New Roman" w:hAnsi="Times New Roman" w:cs="Times New Roman"/>
    </w:rPr>
  </w:style>
  <w:style w:type="paragraph" w:styleId="PargrafodaLista">
    <w:name w:val="List Paragraph"/>
    <w:basedOn w:val="Normal"/>
    <w:uiPriority w:val="34"/>
    <w:qFormat/>
    <w:rsid w:val="00BF05B6"/>
    <w:pPr>
      <w:ind w:left="720"/>
      <w:contextualSpacing/>
    </w:pPr>
  </w:style>
  <w:style w:type="paragraph" w:styleId="Subttulo">
    <w:name w:val="Subtitle"/>
    <w:aliases w:val="Subtítulo 1"/>
    <w:basedOn w:val="Normal"/>
    <w:next w:val="Normal"/>
    <w:link w:val="SubttuloChar"/>
    <w:uiPriority w:val="11"/>
    <w:qFormat/>
    <w:rsid w:val="00BF05B6"/>
    <w:pPr>
      <w:spacing w:before="240" w:after="200" w:line="360" w:lineRule="auto"/>
      <w:jc w:val="both"/>
    </w:pPr>
    <w:rPr>
      <w:rFonts w:ascii="Times New Roman" w:eastAsiaTheme="majorEastAsia" w:hAnsi="Times New Roman" w:cstheme="majorBidi"/>
      <w:b/>
      <w:iCs/>
      <w:spacing w:val="15"/>
      <w:lang w:eastAsia="en-US"/>
    </w:rPr>
  </w:style>
  <w:style w:type="character" w:customStyle="1" w:styleId="SubttuloChar">
    <w:name w:val="Subtítulo Char"/>
    <w:aliases w:val="Subtítulo 1 Char"/>
    <w:basedOn w:val="Fontepargpadro"/>
    <w:link w:val="Subttulo"/>
    <w:uiPriority w:val="11"/>
    <w:rsid w:val="00BF05B6"/>
    <w:rPr>
      <w:rFonts w:eastAsiaTheme="majorEastAsia" w:cstheme="majorBidi"/>
      <w:b/>
      <w:iCs/>
      <w:spacing w:val="15"/>
    </w:rPr>
  </w:style>
  <w:style w:type="paragraph" w:styleId="Textodebalo">
    <w:name w:val="Balloon Text"/>
    <w:basedOn w:val="Normal"/>
    <w:link w:val="TextodebaloChar"/>
    <w:uiPriority w:val="99"/>
    <w:semiHidden/>
    <w:unhideWhenUsed/>
    <w:rsid w:val="00BF05B6"/>
    <w:rPr>
      <w:rFonts w:ascii="Tahoma" w:hAnsi="Tahoma" w:cs="Tahoma"/>
      <w:sz w:val="16"/>
      <w:szCs w:val="16"/>
    </w:rPr>
  </w:style>
  <w:style w:type="character" w:customStyle="1" w:styleId="TextodebaloChar">
    <w:name w:val="Texto de balão Char"/>
    <w:basedOn w:val="Fontepargpadro"/>
    <w:link w:val="Textodebalo"/>
    <w:uiPriority w:val="99"/>
    <w:semiHidden/>
    <w:rsid w:val="00BF05B6"/>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05B6"/>
    <w:pPr>
      <w:spacing w:after="0" w:line="240" w:lineRule="auto"/>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7468DE"/>
    <w:pPr>
      <w:spacing w:after="240"/>
      <w:jc w:val="center"/>
    </w:pPr>
    <w:rPr>
      <w:rFonts w:cstheme="minorBidi"/>
      <w:bCs/>
      <w:sz w:val="20"/>
      <w:szCs w:val="18"/>
    </w:rPr>
  </w:style>
  <w:style w:type="paragraph" w:styleId="Corpodetexto">
    <w:name w:val="Body Text"/>
    <w:basedOn w:val="Normal"/>
    <w:link w:val="CorpodetextoChar"/>
    <w:rsid w:val="00BF05B6"/>
    <w:pPr>
      <w:jc w:val="both"/>
    </w:pPr>
    <w:rPr>
      <w:b/>
      <w:bCs/>
      <w:sz w:val="22"/>
    </w:rPr>
  </w:style>
  <w:style w:type="character" w:customStyle="1" w:styleId="CorpodetextoChar">
    <w:name w:val="Corpo de texto Char"/>
    <w:basedOn w:val="Fontepargpadro"/>
    <w:link w:val="Corpodetexto"/>
    <w:rsid w:val="00BF05B6"/>
    <w:rPr>
      <w:rFonts w:ascii="Arial" w:eastAsia="Times New Roman" w:hAnsi="Arial" w:cs="Arial"/>
      <w:b/>
      <w:bCs/>
      <w:sz w:val="22"/>
      <w:lang w:eastAsia="pt-BR"/>
    </w:rPr>
  </w:style>
  <w:style w:type="table" w:styleId="Tabelacomgrade">
    <w:name w:val="Table Grid"/>
    <w:basedOn w:val="Tabelanormal"/>
    <w:uiPriority w:val="59"/>
    <w:rsid w:val="00BF05B6"/>
    <w:pPr>
      <w:spacing w:after="0" w:line="240" w:lineRule="auto"/>
    </w:pPr>
    <w:rPr>
      <w:rFonts w:eastAsia="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BF05B6"/>
    <w:rPr>
      <w:rFonts w:cs="Times New Roman"/>
      <w:color w:val="0000FF"/>
      <w:u w:val="single"/>
    </w:rPr>
  </w:style>
  <w:style w:type="paragraph" w:styleId="NormalWeb">
    <w:name w:val="Normal (Web)"/>
    <w:basedOn w:val="Normal"/>
    <w:uiPriority w:val="99"/>
    <w:unhideWhenUsed/>
    <w:rsid w:val="00BF05B6"/>
    <w:pPr>
      <w:spacing w:before="100" w:beforeAutospacing="1" w:after="100" w:afterAutospacing="1"/>
    </w:pPr>
    <w:rPr>
      <w:rFonts w:ascii="Times New Roman" w:hAnsi="Times New Roman" w:cs="Times New Roman"/>
    </w:rPr>
  </w:style>
  <w:style w:type="paragraph" w:styleId="PargrafodaLista">
    <w:name w:val="List Paragraph"/>
    <w:basedOn w:val="Normal"/>
    <w:uiPriority w:val="34"/>
    <w:qFormat/>
    <w:rsid w:val="00BF05B6"/>
    <w:pPr>
      <w:ind w:left="720"/>
      <w:contextualSpacing/>
    </w:pPr>
  </w:style>
  <w:style w:type="paragraph" w:styleId="Subttulo">
    <w:name w:val="Subtitle"/>
    <w:aliases w:val="Subtítulo 1"/>
    <w:basedOn w:val="Normal"/>
    <w:next w:val="Normal"/>
    <w:link w:val="SubttuloChar"/>
    <w:uiPriority w:val="11"/>
    <w:qFormat/>
    <w:rsid w:val="00BF05B6"/>
    <w:pPr>
      <w:spacing w:before="240" w:after="200" w:line="360" w:lineRule="auto"/>
      <w:jc w:val="both"/>
    </w:pPr>
    <w:rPr>
      <w:rFonts w:ascii="Times New Roman" w:eastAsiaTheme="majorEastAsia" w:hAnsi="Times New Roman" w:cstheme="majorBidi"/>
      <w:b/>
      <w:iCs/>
      <w:spacing w:val="15"/>
      <w:lang w:eastAsia="en-US"/>
    </w:rPr>
  </w:style>
  <w:style w:type="character" w:customStyle="1" w:styleId="SubttuloChar">
    <w:name w:val="Subtítulo Char"/>
    <w:aliases w:val="Subtítulo 1 Char"/>
    <w:basedOn w:val="Fontepargpadro"/>
    <w:link w:val="Subttulo"/>
    <w:uiPriority w:val="11"/>
    <w:rsid w:val="00BF05B6"/>
    <w:rPr>
      <w:rFonts w:eastAsiaTheme="majorEastAsia" w:cstheme="majorBidi"/>
      <w:b/>
      <w:iCs/>
      <w:spacing w:val="15"/>
    </w:rPr>
  </w:style>
  <w:style w:type="paragraph" w:styleId="Textodebalo">
    <w:name w:val="Balloon Text"/>
    <w:basedOn w:val="Normal"/>
    <w:link w:val="TextodebaloChar"/>
    <w:uiPriority w:val="99"/>
    <w:semiHidden/>
    <w:unhideWhenUsed/>
    <w:rsid w:val="00BF05B6"/>
    <w:rPr>
      <w:rFonts w:ascii="Tahoma" w:hAnsi="Tahoma" w:cs="Tahoma"/>
      <w:sz w:val="16"/>
      <w:szCs w:val="16"/>
    </w:rPr>
  </w:style>
  <w:style w:type="character" w:customStyle="1" w:styleId="TextodebaloChar">
    <w:name w:val="Texto de balão Char"/>
    <w:basedOn w:val="Fontepargpadro"/>
    <w:link w:val="Textodebalo"/>
    <w:uiPriority w:val="99"/>
    <w:semiHidden/>
    <w:rsid w:val="00BF05B6"/>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3769</Words>
  <Characters>20358</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Campanatti</dc:creator>
  <cp:lastModifiedBy>Amanda Campanatti</cp:lastModifiedBy>
  <cp:revision>1</cp:revision>
  <dcterms:created xsi:type="dcterms:W3CDTF">2014-06-16T18:54:00Z</dcterms:created>
  <dcterms:modified xsi:type="dcterms:W3CDTF">2014-06-16T18:57:00Z</dcterms:modified>
</cp:coreProperties>
</file>